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ascii="Times New Roman" w:hAnsi="Times New Roman" w:eastAsia="黑体" w:cs="Times New Roman"/>
          <w:b w:val="0"/>
          <w:bCs w:val="0"/>
          <w:color w:val="auto"/>
          <w:sz w:val="32"/>
          <w:szCs w:val="32"/>
          <w:lang w:val="en"/>
        </w:rPr>
      </w:pPr>
      <w:r>
        <w:rPr>
          <w:rFonts w:hint="default" w:ascii="Times New Roman" w:hAnsi="Times New Roman" w:eastAsia="黑体" w:cs="Times New Roman"/>
          <w:b w:val="0"/>
          <w:bCs w:val="0"/>
          <w:color w:val="auto"/>
          <w:sz w:val="32"/>
          <w:szCs w:val="32"/>
          <w:lang w:val="en"/>
        </w:rPr>
        <w:t>附件2</w:t>
      </w:r>
    </w:p>
    <w:p>
      <w:pPr>
        <w:jc w:val="center"/>
        <w:rPr>
          <w:rFonts w:hint="default" w:ascii="Times New Roman" w:hAnsi="Times New Roman" w:eastAsia="仿宋_GB2312" w:cs="Times New Roman"/>
          <w:b/>
          <w:bCs/>
          <w:color w:val="auto"/>
          <w:sz w:val="44"/>
          <w:szCs w:val="44"/>
        </w:rPr>
      </w:pPr>
    </w:p>
    <w:p>
      <w:pPr>
        <w:spacing w:line="500" w:lineRule="exact"/>
        <w:jc w:val="center"/>
        <w:outlineLvl w:val="0"/>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202</w:t>
      </w:r>
      <w:r>
        <w:rPr>
          <w:rFonts w:hint="default" w:ascii="Times New Roman" w:hAnsi="Times New Roman" w:eastAsia="方正小标宋简体" w:cs="Times New Roman"/>
          <w:b w:val="0"/>
          <w:bCs w:val="0"/>
          <w:color w:val="auto"/>
          <w:sz w:val="44"/>
          <w:szCs w:val="44"/>
          <w:lang w:val="en-US" w:eastAsia="zh-CN"/>
        </w:rPr>
        <w:t>4</w:t>
      </w:r>
      <w:r>
        <w:rPr>
          <w:rFonts w:hint="default" w:ascii="Times New Roman" w:hAnsi="Times New Roman" w:eastAsia="方正小标宋简体" w:cs="Times New Roman"/>
          <w:b w:val="0"/>
          <w:bCs w:val="0"/>
          <w:color w:val="auto"/>
          <w:sz w:val="44"/>
          <w:szCs w:val="44"/>
        </w:rPr>
        <w:t>年</w:t>
      </w:r>
      <w:r>
        <w:rPr>
          <w:rFonts w:hint="default" w:ascii="Times New Roman" w:hAnsi="Times New Roman" w:eastAsia="方正小标宋简体" w:cs="Times New Roman"/>
          <w:b w:val="0"/>
          <w:bCs w:val="0"/>
          <w:color w:val="auto"/>
          <w:sz w:val="44"/>
          <w:szCs w:val="44"/>
          <w:lang w:eastAsia="zh-CN"/>
        </w:rPr>
        <w:t>度</w:t>
      </w:r>
      <w:r>
        <w:rPr>
          <w:rFonts w:hint="default" w:ascii="Times New Roman" w:hAnsi="Times New Roman" w:eastAsia="方正小标宋简体" w:cs="Times New Roman"/>
          <w:b w:val="0"/>
          <w:bCs w:val="0"/>
          <w:color w:val="auto"/>
          <w:sz w:val="44"/>
          <w:szCs w:val="44"/>
        </w:rPr>
        <w:t>重点研发计划项目申报指南</w:t>
      </w:r>
    </w:p>
    <w:p>
      <w:pPr>
        <w:pStyle w:val="2"/>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default" w:ascii="Times New Roman" w:hAnsi="Times New Roman" w:eastAsia="宋体" w:cs="Times New Roman"/>
          <w:b/>
          <w:bCs/>
          <w:color w:val="auto"/>
          <w:sz w:val="32"/>
          <w:szCs w:val="32"/>
          <w:lang w:eastAsia="zh-CN"/>
        </w:rPr>
      </w:pPr>
      <w:r>
        <w:rPr>
          <w:rFonts w:hint="default" w:ascii="Times New Roman" w:hAnsi="Times New Roman" w:eastAsia="宋体" w:cs="Times New Roman"/>
          <w:b/>
          <w:bCs/>
          <w:color w:val="auto"/>
          <w:sz w:val="32"/>
          <w:szCs w:val="32"/>
          <w:lang w:eastAsia="zh-CN"/>
        </w:rPr>
        <w:t>高新领域</w:t>
      </w:r>
    </w:p>
    <w:tbl>
      <w:tblPr>
        <w:tblStyle w:val="8"/>
        <w:tblW w:w="9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4"/>
        <w:gridCol w:w="1437"/>
        <w:gridCol w:w="4100"/>
        <w:gridCol w:w="2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2"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b/>
                <w:bCs/>
                <w:i w:val="0"/>
                <w:iCs w:val="0"/>
                <w:color w:val="000000"/>
                <w:sz w:val="28"/>
                <w:szCs w:val="28"/>
                <w:u w:val="none"/>
              </w:rPr>
            </w:pPr>
            <w:r>
              <w:rPr>
                <w:rFonts w:hint="default" w:ascii="Times New Roman" w:hAnsi="Times New Roman" w:eastAsia="仿宋_GB2312" w:cs="Times New Roman"/>
                <w:b/>
                <w:bCs/>
                <w:i w:val="0"/>
                <w:iCs w:val="0"/>
                <w:color w:val="000000"/>
                <w:kern w:val="0"/>
                <w:sz w:val="28"/>
                <w:szCs w:val="28"/>
                <w:u w:val="none"/>
                <w:lang w:val="en-US" w:eastAsia="zh-CN" w:bidi="ar"/>
              </w:rPr>
              <w:t>序号</w:t>
            </w:r>
          </w:p>
        </w:tc>
        <w:tc>
          <w:tcPr>
            <w:tcW w:w="14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b/>
                <w:bCs/>
                <w:i w:val="0"/>
                <w:iCs w:val="0"/>
                <w:color w:val="000000"/>
                <w:sz w:val="28"/>
                <w:szCs w:val="28"/>
                <w:u w:val="none"/>
              </w:rPr>
            </w:pPr>
            <w:r>
              <w:rPr>
                <w:rFonts w:hint="default" w:ascii="Times New Roman" w:hAnsi="Times New Roman" w:eastAsia="仿宋_GB2312" w:cs="Times New Roman"/>
                <w:b/>
                <w:bCs/>
                <w:i w:val="0"/>
                <w:iCs w:val="0"/>
                <w:color w:val="000000"/>
                <w:kern w:val="0"/>
                <w:sz w:val="28"/>
                <w:szCs w:val="28"/>
                <w:u w:val="none"/>
                <w:lang w:val="en-US" w:eastAsia="zh-CN" w:bidi="ar"/>
              </w:rPr>
              <w:t>技术领域</w:t>
            </w: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b/>
                <w:bCs/>
                <w:i w:val="0"/>
                <w:iCs w:val="0"/>
                <w:color w:val="000000"/>
                <w:sz w:val="28"/>
                <w:szCs w:val="28"/>
                <w:u w:val="none"/>
              </w:rPr>
            </w:pPr>
            <w:r>
              <w:rPr>
                <w:rFonts w:hint="default" w:ascii="Times New Roman" w:hAnsi="Times New Roman" w:eastAsia="仿宋_GB2312" w:cs="Times New Roman"/>
                <w:b/>
                <w:bCs/>
                <w:i w:val="0"/>
                <w:iCs w:val="0"/>
                <w:color w:val="000000"/>
                <w:kern w:val="0"/>
                <w:sz w:val="28"/>
                <w:szCs w:val="28"/>
                <w:u w:val="none"/>
                <w:lang w:val="en-US" w:eastAsia="zh-CN" w:bidi="ar"/>
              </w:rPr>
              <w:t>指南方向</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b/>
                <w:bCs/>
                <w:i w:val="0"/>
                <w:iCs w:val="0"/>
                <w:color w:val="000000"/>
                <w:kern w:val="0"/>
                <w:sz w:val="28"/>
                <w:szCs w:val="28"/>
                <w:u w:val="none"/>
                <w:lang w:val="en-US" w:eastAsia="zh-CN" w:bidi="ar"/>
              </w:rPr>
            </w:pPr>
            <w:r>
              <w:rPr>
                <w:rFonts w:hint="default" w:ascii="Times New Roman" w:hAnsi="Times New Roman" w:eastAsia="仿宋_GB2312" w:cs="Times New Roman"/>
                <w:b/>
                <w:bCs/>
                <w:i w:val="0"/>
                <w:iCs w:val="0"/>
                <w:color w:val="000000"/>
                <w:kern w:val="0"/>
                <w:sz w:val="28"/>
                <w:szCs w:val="28"/>
                <w:u w:val="none"/>
                <w:lang w:val="en-US" w:eastAsia="zh-CN" w:bidi="ar"/>
              </w:rPr>
              <w:t>是否青年科学家项目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1</w:t>
            </w:r>
          </w:p>
        </w:tc>
        <w:tc>
          <w:tcPr>
            <w:tcW w:w="143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航空</w:t>
            </w: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spacing w:val="-11"/>
                <w:kern w:val="0"/>
                <w:sz w:val="28"/>
                <w:szCs w:val="28"/>
                <w:u w:val="none"/>
                <w:lang w:val="en-US" w:eastAsia="zh-CN" w:bidi="ar"/>
              </w:rPr>
              <w:t>航空发动机制造与检测技术研</w:t>
            </w:r>
            <w:r>
              <w:rPr>
                <w:rFonts w:hint="default" w:ascii="Times New Roman" w:hAnsi="Times New Roman" w:eastAsia="仿宋_GB2312" w:cs="Times New Roman"/>
                <w:i w:val="0"/>
                <w:iCs w:val="0"/>
                <w:color w:val="000000"/>
                <w:kern w:val="0"/>
                <w:sz w:val="28"/>
                <w:szCs w:val="28"/>
                <w:u w:val="none"/>
                <w:lang w:val="en-US" w:eastAsia="zh-CN" w:bidi="ar"/>
              </w:rPr>
              <w:t>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2</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航空先进材料设计技术研究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3</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航空器</w:t>
            </w:r>
            <w:r>
              <w:rPr>
                <w:rFonts w:hint="default" w:ascii="Times New Roman" w:hAnsi="Times New Roman" w:eastAsia="仿宋_GB2312" w:cs="Times New Roman"/>
                <w:i w:val="0"/>
                <w:iCs w:val="0"/>
                <w:color w:val="000000"/>
                <w:spacing w:val="-11"/>
                <w:kern w:val="0"/>
                <w:sz w:val="28"/>
                <w:szCs w:val="28"/>
                <w:u w:val="none"/>
                <w:lang w:val="en-US" w:eastAsia="zh-CN" w:bidi="ar"/>
              </w:rPr>
              <w:t>关键零部件制造技术研</w:t>
            </w:r>
            <w:r>
              <w:rPr>
                <w:rFonts w:hint="default" w:ascii="Times New Roman" w:hAnsi="Times New Roman" w:eastAsia="仿宋_GB2312" w:cs="Times New Roman"/>
                <w:i w:val="0"/>
                <w:iCs w:val="0"/>
                <w:color w:val="000000"/>
                <w:kern w:val="0"/>
                <w:sz w:val="28"/>
                <w:szCs w:val="28"/>
                <w:u w:val="none"/>
                <w:lang w:val="en-US" w:eastAsia="zh-CN" w:bidi="ar"/>
              </w:rPr>
              <w:t>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4</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航空运营维护技术研究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5</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航空器信息化技术研究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6</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无人机设计制造技术研究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7</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直升机设计制造技术研究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8</w:t>
            </w:r>
          </w:p>
        </w:tc>
        <w:tc>
          <w:tcPr>
            <w:tcW w:w="143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先进制造与装备</w:t>
            </w: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先进半导体制造技术研究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9</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智能检测与诊断技术研究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10</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先进材料精密制造技术研究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11</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电力/电缆制造技术研究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12</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高端数控机床加工技术研究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13</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精密模具/轴承制造技术研究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14</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高端特种装备制造术研究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15</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pacing w:val="-11"/>
                <w:kern w:val="0"/>
                <w:sz w:val="28"/>
                <w:szCs w:val="28"/>
                <w:u w:val="none"/>
                <w:lang w:val="en-US" w:eastAsia="zh-CN" w:bidi="ar"/>
              </w:rPr>
            </w:pPr>
            <w:r>
              <w:rPr>
                <w:rFonts w:hint="default" w:ascii="Times New Roman" w:hAnsi="Times New Roman" w:eastAsia="仿宋_GB2312" w:cs="Times New Roman"/>
                <w:i w:val="0"/>
                <w:iCs w:val="0"/>
                <w:color w:val="000000"/>
                <w:spacing w:val="-11"/>
                <w:kern w:val="0"/>
                <w:sz w:val="28"/>
                <w:szCs w:val="28"/>
                <w:u w:val="none"/>
                <w:lang w:val="en-US" w:eastAsia="zh-CN" w:bidi="ar"/>
              </w:rPr>
              <w:t>智能机器人设计与制造技术研究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16</w:t>
            </w:r>
          </w:p>
        </w:tc>
        <w:tc>
          <w:tcPr>
            <w:tcW w:w="143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新材料</w:t>
            </w: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pacing w:val="-11"/>
                <w:kern w:val="0"/>
                <w:sz w:val="28"/>
                <w:szCs w:val="28"/>
                <w:u w:val="none"/>
                <w:lang w:val="en-US" w:eastAsia="zh-CN" w:bidi="ar"/>
              </w:rPr>
            </w:pPr>
            <w:r>
              <w:rPr>
                <w:rFonts w:hint="default" w:ascii="Times New Roman" w:hAnsi="Times New Roman" w:eastAsia="仿宋_GB2312" w:cs="Times New Roman"/>
                <w:i w:val="0"/>
                <w:iCs w:val="0"/>
                <w:color w:val="000000"/>
                <w:spacing w:val="-11"/>
                <w:kern w:val="0"/>
                <w:sz w:val="28"/>
                <w:szCs w:val="28"/>
                <w:u w:val="none"/>
                <w:lang w:val="en-US" w:eastAsia="zh-CN" w:bidi="ar"/>
              </w:rPr>
              <w:t>高性能特种钢铁新材料技术研究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17</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稀土功能材料技术及应用研究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18</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spacing w:val="-11"/>
                <w:kern w:val="0"/>
                <w:sz w:val="28"/>
                <w:szCs w:val="28"/>
                <w:u w:val="none"/>
                <w:lang w:val="en-US" w:eastAsia="zh-CN" w:bidi="ar"/>
              </w:rPr>
              <w:t>特种及先进陶瓷材料制备技术研究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19</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高性能铜箔材料技术研究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20</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无氧高性能铜材技术研究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21</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超高温金属材料技术研究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22</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高性能电阻材料技术研究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23</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高性能半导体材料技术研究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24</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Mg-Sm系稀土镁合金技术研究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25</w:t>
            </w:r>
          </w:p>
        </w:tc>
        <w:tc>
          <w:tcPr>
            <w:tcW w:w="143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新能源</w:t>
            </w: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光伏单晶硅制备技术研究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26</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新型负极材料关键技术研究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27</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spacing w:val="-11"/>
                <w:kern w:val="0"/>
                <w:sz w:val="28"/>
                <w:szCs w:val="28"/>
                <w:u w:val="none"/>
                <w:lang w:val="en-US" w:eastAsia="zh-CN" w:bidi="ar"/>
              </w:rPr>
              <w:t>锂离子电池材料回收利用技术研究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28</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氢能应用关键技术研究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29</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光伏与锂电产品升级技术研究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30</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新型光伏系统与组件技术研究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31</w:t>
            </w:r>
          </w:p>
        </w:tc>
        <w:tc>
          <w:tcPr>
            <w:tcW w:w="143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汽车</w:t>
            </w: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汽车电子关键技术研究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32</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汽车安全关键技术研究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33</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汽车智能驾驶关键技术研究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34</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整车制造与</w:t>
            </w:r>
            <w:r>
              <w:rPr>
                <w:rFonts w:hint="default" w:ascii="Times New Roman" w:hAnsi="Times New Roman" w:eastAsia="仿宋_GB2312" w:cs="Times New Roman"/>
                <w:i w:val="0"/>
                <w:iCs w:val="0"/>
                <w:color w:val="000000"/>
                <w:spacing w:val="-11"/>
                <w:kern w:val="0"/>
                <w:sz w:val="28"/>
                <w:szCs w:val="28"/>
                <w:u w:val="none"/>
                <w:lang w:val="en-US" w:eastAsia="zh-CN" w:bidi="ar"/>
              </w:rPr>
              <w:t>关键零部件技术研</w:t>
            </w:r>
            <w:r>
              <w:rPr>
                <w:rFonts w:hint="default" w:ascii="Times New Roman" w:hAnsi="Times New Roman" w:eastAsia="仿宋_GB2312" w:cs="Times New Roman"/>
                <w:i w:val="0"/>
                <w:iCs w:val="0"/>
                <w:color w:val="000000"/>
                <w:kern w:val="0"/>
                <w:sz w:val="28"/>
                <w:szCs w:val="28"/>
                <w:u w:val="none"/>
                <w:lang w:val="en-US" w:eastAsia="zh-CN" w:bidi="ar"/>
              </w:rPr>
              <w:t>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35</w:t>
            </w:r>
          </w:p>
        </w:tc>
        <w:tc>
          <w:tcPr>
            <w:tcW w:w="143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新一代信息技术</w:t>
            </w: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人工智能技术及应用研究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36</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LED芯片开发与应用技术研究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37</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新型传感器和毫米波雷达关键技术研究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38</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能源物联网关键技术研究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39</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北斗</w:t>
            </w:r>
            <w:r>
              <w:rPr>
                <w:rFonts w:hint="default" w:ascii="Times New Roman" w:hAnsi="Times New Roman" w:eastAsia="仿宋_GB2312" w:cs="Times New Roman"/>
                <w:i w:val="0"/>
                <w:iCs w:val="0"/>
                <w:color w:val="000000"/>
                <w:spacing w:val="-11"/>
                <w:kern w:val="0"/>
                <w:sz w:val="28"/>
                <w:szCs w:val="28"/>
                <w:u w:val="none"/>
                <w:lang w:val="en-US" w:eastAsia="zh-CN" w:bidi="ar"/>
              </w:rPr>
              <w:t>+多源数据融合关键技术研</w:t>
            </w:r>
            <w:r>
              <w:rPr>
                <w:rFonts w:hint="default" w:ascii="Times New Roman" w:hAnsi="Times New Roman" w:eastAsia="仿宋_GB2312" w:cs="Times New Roman"/>
                <w:i w:val="0"/>
                <w:iCs w:val="0"/>
                <w:color w:val="000000"/>
                <w:kern w:val="0"/>
                <w:sz w:val="28"/>
                <w:szCs w:val="28"/>
                <w:u w:val="none"/>
                <w:lang w:val="en-US" w:eastAsia="zh-CN" w:bidi="ar"/>
              </w:rPr>
              <w:t>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40</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智慧交通关键技术研究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41</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算力联网调度关键技术研究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42</w:t>
            </w:r>
          </w:p>
        </w:tc>
        <w:tc>
          <w:tcPr>
            <w:tcW w:w="143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现代</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服务业</w:t>
            </w: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智慧医疗服务关键技术研究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43</w:t>
            </w:r>
          </w:p>
        </w:tc>
        <w:tc>
          <w:tcPr>
            <w:tcW w:w="143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p>
        </w:tc>
        <w:tc>
          <w:tcPr>
            <w:tcW w:w="41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文化创意软件关键技术研究</w:t>
            </w:r>
          </w:p>
        </w:tc>
        <w:tc>
          <w:tcPr>
            <w:tcW w:w="28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bl>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一、</w:t>
      </w:r>
      <w:r>
        <w:rPr>
          <w:rFonts w:hint="default" w:ascii="Times New Roman" w:hAnsi="Times New Roman" w:eastAsia="黑体" w:cs="Times New Roman"/>
          <w:b w:val="0"/>
          <w:bCs w:val="0"/>
          <w:sz w:val="32"/>
          <w:szCs w:val="32"/>
        </w:rPr>
        <w:t>航空</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1．航空发动机制造与检测技术</w:t>
      </w:r>
      <w:r>
        <w:rPr>
          <w:rFonts w:hint="default" w:ascii="Times New Roman" w:hAnsi="Times New Roman" w:eastAsia="仿宋_GB2312" w:cs="Times New Roman"/>
          <w:b/>
          <w:bCs/>
          <w:sz w:val="32"/>
          <w:szCs w:val="32"/>
          <w:lang w:eastAsia="zh-CN"/>
        </w:rPr>
        <w:t>研究</w:t>
      </w:r>
      <w:r>
        <w:rPr>
          <w:rFonts w:hint="default" w:ascii="Times New Roman" w:hAnsi="Times New Roman" w:eastAsia="仿宋_GB2312" w:cs="Times New Roman"/>
          <w:b/>
          <w:bCs/>
          <w:sz w:val="32"/>
          <w:szCs w:val="32"/>
        </w:rPr>
        <w:t>（青年科学家项目）</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rPr>
        <w:t>重点开展翼尖喷气直升机复合动力系统、航空发动机金属密封组件、航空发动机锻件智能检测、航空发动机薄壁零件损伤机理及断裂建模等技术研究与开发应用。</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bCs/>
          <w:sz w:val="32"/>
          <w:szCs w:val="32"/>
        </w:rPr>
        <w:t>考核指标：</w:t>
      </w:r>
      <w:r>
        <w:rPr>
          <w:rFonts w:hint="default" w:ascii="Times New Roman" w:hAnsi="Times New Roman" w:eastAsia="仿宋_GB2312" w:cs="Times New Roman"/>
          <w:kern w:val="0"/>
          <w:sz w:val="32"/>
          <w:szCs w:val="32"/>
          <w:lang w:bidi="ar"/>
        </w:rPr>
        <w:t>（1）研发具有燃气发生器功能的高功重比活塞发动机和过氧化氢燃气发生器的翼尖喷气直升机复合动力系统样机1台套，当量功重比大于3.6，单位质量发动机的燃气产生量0.015kg/s；（2）研发金属波纹管冲压成形和焊接设备共2台套；研制金属密封组件综合工况试验设备1台套；直径250 mm以下金属封严环在实际工况、压差0.69 MPa下，泄漏量≤0.08 m3/h，回弹率≥95%，金属封严环寿命≥2000h；（3）研制航空发动机复杂形貌变厚度锻件超声智能检测装备样机1台、航空发动机锻件组织结构智能评价与可视化系统1套，晶粒度评价误差≤0.5级（GB/T 6394-2017）；（4）高温合金薄壁构件寿命预测结果与实际寿命误差小于20%，交付损伤建模及仿真软件1套。实现示范应用或产业化。</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2．航空先进材料设计</w:t>
      </w:r>
      <w:r>
        <w:rPr>
          <w:rFonts w:hint="default" w:ascii="Times New Roman" w:hAnsi="Times New Roman" w:eastAsia="仿宋_GB2312" w:cs="Times New Roman"/>
          <w:b/>
          <w:bCs/>
          <w:sz w:val="32"/>
          <w:szCs w:val="32"/>
          <w:lang w:eastAsia="zh-CN"/>
        </w:rPr>
        <w:t>技术</w:t>
      </w:r>
      <w:r>
        <w:rPr>
          <w:rFonts w:hint="default" w:ascii="Times New Roman" w:hAnsi="Times New Roman" w:eastAsia="仿宋_GB2312" w:cs="Times New Roman"/>
          <w:b/>
          <w:bCs/>
          <w:sz w:val="32"/>
          <w:szCs w:val="32"/>
        </w:rPr>
        <w:t>研究（青年科学家项目）</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rPr>
        <w:t>主要开展航空复材表面碳化钛陶瓷涂层隔热防火和高温隐身、航空薄壁不锈钢小弯曲半径管推弯、</w:t>
      </w:r>
      <w:r>
        <w:rPr>
          <w:rFonts w:hint="default" w:ascii="Times New Roman" w:hAnsi="Times New Roman" w:eastAsia="仿宋_GB2312" w:cs="Times New Roman"/>
          <w:sz w:val="32"/>
          <w:szCs w:val="32"/>
          <w:lang w:eastAsia="zh-CN"/>
        </w:rPr>
        <w:t>超</w:t>
      </w:r>
      <w:r>
        <w:rPr>
          <w:rFonts w:hint="default" w:ascii="Times New Roman" w:hAnsi="Times New Roman" w:eastAsia="仿宋_GB2312" w:cs="Times New Roman"/>
          <w:sz w:val="32"/>
          <w:szCs w:val="32"/>
        </w:rPr>
        <w:t>高强高模量镁合金等技术研究与开发应用。</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bCs/>
          <w:sz w:val="32"/>
          <w:szCs w:val="32"/>
        </w:rPr>
        <w:t>考核指标：</w:t>
      </w:r>
      <w:r>
        <w:rPr>
          <w:rFonts w:hint="default" w:ascii="Times New Roman" w:hAnsi="Times New Roman" w:eastAsia="仿宋_GB2312" w:cs="Times New Roman"/>
          <w:kern w:val="0"/>
          <w:sz w:val="32"/>
          <w:szCs w:val="32"/>
          <w:lang w:bidi="ar"/>
        </w:rPr>
        <w:t>（1）研制轻质量（小于3g/cm3）、宽频率带宽（大于6GHz）、耐高温（大于500℃）和高隐身能力（反射损耗小于-40 dB）的航空复材表面隐身材料；（2）研制管径D≥65mm推弯成形模具≥3套；获得大径厚比（D/t&gt;80）小弯曲半径管试件≥3件；试验件相对弯曲半径R/D≤1、壁厚减薄率≤20%、椭圆度≤8%、耐压性能提高不低于15%、加工效率提高20%以上；开发薄壁管推弯模具与工装数字化设计软件与工艺参数数据库系统软件2套，较传统设计效率提高不低于30%；（3）镁合金密度ρ≤1.9g/cm3，弹性模量E≥55GPa；变形镁合金抗拉强度Rm≥500MPa、断后伸长率A≥5%；铸造镁合金抗拉强度Rm≥370MPa、断后伸长率A≥3%。实现示范应用或产业化。</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3．航空器关键零部件制造技术研究</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rPr>
        <w:t>主要开展飞机薄壁整体结构件高速铣削、飞机进气道异形薄壁曲面构件固化缺陷和变形控制、复杂镁铝合金机匣高能CT冶金缺陷智能识别等技术研究与开发应用。</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考核指标：</w:t>
      </w:r>
      <w:r>
        <w:rPr>
          <w:rFonts w:hint="default" w:ascii="Times New Roman" w:hAnsi="Times New Roman" w:eastAsia="仿宋_GB2312" w:cs="Times New Roman"/>
          <w:kern w:val="0"/>
          <w:sz w:val="32"/>
          <w:szCs w:val="32"/>
        </w:rPr>
        <w:t>（1）薄壁构件切削过程动态切削力预测误差≤10%，加工变形量与优化前的0.05mm相比降低35%，编制铣削加工工艺规范一套；（2）复合材料进气道与金属相比减重20~30%，复合材料固化成型孔隙率（0.5μm以上） ≤4%，复合材料薄壁曲面构件的型面尺寸偏差（-1.0mm~+1.0 mm），厚度公差±8％；（3）研制复杂铝镁合金机匣高能冶金CT缺陷智能识别算法与评价一体化软件1套，对1mm以内的夹渣、裂纹等典型缺陷的自动识别率不低于95%，对1mm以内的疏松、孔洞缺陷的自动识别率不低于90%。实现示范应用或产业化。</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4．航空运营维护技术研究</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rPr>
        <w:t>主要开展XR智能引擎的航空运维虚实融合数字孪生平台、飞机复杂结构件铆接缺陷自动识别、基于AR技术的飞机可视化远程协助维修等技术研究与开发应用。</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考核指标：</w:t>
      </w:r>
      <w:r>
        <w:rPr>
          <w:rFonts w:hint="default" w:ascii="Times New Roman" w:hAnsi="Times New Roman" w:eastAsia="仿宋_GB2312" w:cs="Times New Roman"/>
          <w:kern w:val="0"/>
          <w:sz w:val="32"/>
          <w:szCs w:val="32"/>
        </w:rPr>
        <w:t>（1）航空运维场景下的应用场景试验平台的时空尺度分辨率≥1ms/5m，光学视觉处理能力支持≥两路视频输入，计算更新率≥4帧/s，智能引擎存储容量≥10TB，面向航空运维场景的数字孪生虚拟化XR建模模型≥10种，系统切换延时及端到端传输延时≤30ms，交付数字孪生平台1套。（2）研制飞机复杂结构件铆接装配质量智能检测设备1-2台，</w:t>
      </w:r>
      <w:r>
        <w:rPr>
          <w:rFonts w:hint="default" w:ascii="Times New Roman" w:hAnsi="Times New Roman" w:eastAsia="仿宋_GB2312" w:cs="Times New Roman"/>
          <w:sz w:val="32"/>
          <w:szCs w:val="32"/>
        </w:rPr>
        <w:t>铆接缺陷自动识别</w:t>
      </w:r>
      <w:r>
        <w:rPr>
          <w:rFonts w:hint="default" w:ascii="Times New Roman" w:hAnsi="Times New Roman" w:eastAsia="仿宋_GB2312" w:cs="Times New Roman"/>
          <w:kern w:val="0"/>
          <w:sz w:val="32"/>
          <w:szCs w:val="32"/>
        </w:rPr>
        <w:t>系统检测对象的进深大于2.0m、口径小于0.8m，能识别出0.1mm以上的微裂纹，铆钉头直径超差、不圆、铆接面孔洞、崩缺的识别成功率不低于95%，检测效率提高50%以上。（3）开发飞机装配AR辅助装配系统1套，AR交互响应时间：平均响应时间≤0.1秒，最大响应时间≤1秒，可检测与识别的缺陷≥3类，系统对于训练装备量化特征覆盖率不低于85%，飞行技能增长知识点覆盖有效性不低于80%。实现示范应用或产业化。</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cs="Times New Roman"/>
          <w:b/>
          <w:bCs/>
          <w:sz w:val="32"/>
          <w:szCs w:val="32"/>
        </w:rPr>
        <w:t>5</w:t>
      </w:r>
      <w:r>
        <w:rPr>
          <w:rFonts w:hint="default" w:ascii="Times New Roman" w:hAnsi="Times New Roman" w:eastAsia="仿宋_GB2312" w:cs="Times New Roman"/>
          <w:b/>
          <w:bCs/>
          <w:sz w:val="32"/>
          <w:szCs w:val="32"/>
        </w:rPr>
        <w:t>．航空器信息化技术研究</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rPr>
        <w:t>主要开展基于飞行大数据的直升机故障检测、空地多源图像的局部区域目标识别与定位、航空金属构件无损检测、面向航空的点阵结构数值仿真分析及增材制造、飞机仪表OLED显示电子注入层C12A7:e-材料等技术研究与开发应用。</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考核指标：</w:t>
      </w:r>
      <w:r>
        <w:rPr>
          <w:rFonts w:hint="default" w:ascii="Times New Roman" w:hAnsi="Times New Roman" w:eastAsia="仿宋_GB2312" w:cs="Times New Roman"/>
          <w:kern w:val="0"/>
          <w:sz w:val="32"/>
          <w:szCs w:val="32"/>
        </w:rPr>
        <w:t>（1）研制不少于1种直升机型号的飞行安全保障应用软件，面向不少于5种直升机机载设备的告警溯源与不少于20种直升机机载系统故障判据；（2）典型目标识别类型不少于5种，典型目标融合一致性≥90%，多源图像融合后典型目标识别置信度≥90%。识别目标在数字地图显示实际误差≤1米，目标类型识别准确率≥90%，成果在某型号项目中应用验证；（3）研制磁检测传感器及其阵列不少于3套，单组传感器量程不小于±700000nT，与构件接触面尺寸不大于3*3mm，系统噪声不大于50nT；目标特征的智能识别准确率不低于90%，可识别埋深5mm以内残余应力与裂纹缺陷，裂纹宽度检测精度0.1mm；（4）建立面向飞行器结构特征的混杂点阵结构数值分析方法，形成仿真分析模型1套，研发增材制造飞行器典型金属构件1套；（5）实现C12A7:e</w:t>
      </w:r>
      <w:r>
        <w:rPr>
          <w:rFonts w:hint="default" w:ascii="Times New Roman" w:hAnsi="Times New Roman" w:eastAsia="仿宋_GB2312" w:cs="Times New Roman"/>
          <w:kern w:val="0"/>
          <w:sz w:val="32"/>
          <w:szCs w:val="32"/>
          <w:vertAlign w:val="superscript"/>
        </w:rPr>
        <w:t>-</w:t>
      </w:r>
      <w:r>
        <w:rPr>
          <w:rFonts w:hint="default" w:ascii="Times New Roman" w:hAnsi="Times New Roman" w:eastAsia="仿宋_GB2312" w:cs="Times New Roman"/>
          <w:kern w:val="0"/>
          <w:sz w:val="32"/>
          <w:szCs w:val="32"/>
        </w:rPr>
        <w:t>低成本、批量化生产</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样品电子浓度不低于1×10</w:t>
      </w:r>
      <w:r>
        <w:rPr>
          <w:rFonts w:hint="default" w:ascii="Times New Roman" w:hAnsi="Times New Roman" w:eastAsia="仿宋_GB2312" w:cs="Times New Roman"/>
          <w:kern w:val="0"/>
          <w:sz w:val="32"/>
          <w:szCs w:val="32"/>
          <w:vertAlign w:val="superscript"/>
        </w:rPr>
        <w:t>19</w:t>
      </w:r>
      <w:r>
        <w:rPr>
          <w:rFonts w:hint="default" w:ascii="Times New Roman" w:hAnsi="Times New Roman" w:eastAsia="仿宋_GB2312" w:cs="Times New Roman"/>
          <w:kern w:val="0"/>
          <w:sz w:val="32"/>
          <w:szCs w:val="32"/>
        </w:rPr>
        <w:t>cm</w:t>
      </w:r>
      <w:r>
        <w:rPr>
          <w:rFonts w:hint="default" w:ascii="Times New Roman" w:hAnsi="Times New Roman" w:eastAsia="仿宋_GB2312" w:cs="Times New Roman"/>
          <w:kern w:val="0"/>
          <w:sz w:val="32"/>
          <w:szCs w:val="32"/>
          <w:vertAlign w:val="superscript"/>
        </w:rPr>
        <w:t>-3</w:t>
      </w:r>
      <w:r>
        <w:rPr>
          <w:rFonts w:hint="default" w:ascii="Times New Roman" w:hAnsi="Times New Roman" w:eastAsia="仿宋_GB2312" w:cs="Times New Roman"/>
          <w:kern w:val="0"/>
          <w:sz w:val="32"/>
          <w:szCs w:val="32"/>
        </w:rPr>
        <w:t>，功函数不高于2.4eV,工作温度≤1100℃，3.5kV电流发射密度≥1.5A/cm</w:t>
      </w:r>
      <w:r>
        <w:rPr>
          <w:rFonts w:hint="default" w:ascii="Times New Roman" w:hAnsi="Times New Roman" w:eastAsia="仿宋_GB2312" w:cs="Times New Roman"/>
          <w:kern w:val="0"/>
          <w:sz w:val="32"/>
          <w:szCs w:val="32"/>
          <w:vertAlign w:val="superscript"/>
        </w:rPr>
        <w:t>2</w:t>
      </w:r>
      <w:r>
        <w:rPr>
          <w:rFonts w:hint="default" w:ascii="Times New Roman" w:hAnsi="Times New Roman" w:eastAsia="仿宋_GB2312" w:cs="Times New Roman"/>
          <w:kern w:val="0"/>
          <w:sz w:val="32"/>
          <w:szCs w:val="32"/>
        </w:rPr>
        <w:t>，在低于450℃的大气环境存放大于30天。实现示范应用或产业化。</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sz w:val="32"/>
          <w:szCs w:val="32"/>
          <w:lang w:eastAsia="zh-CN"/>
        </w:rPr>
      </w:pPr>
      <w:r>
        <w:rPr>
          <w:rFonts w:hint="default" w:ascii="Times New Roman" w:hAnsi="Times New Roman" w:cs="Times New Roman"/>
          <w:b/>
          <w:bCs/>
          <w:sz w:val="32"/>
          <w:szCs w:val="32"/>
        </w:rPr>
        <w:t>6</w:t>
      </w:r>
      <w:r>
        <w:rPr>
          <w:rFonts w:hint="default" w:ascii="Times New Roman" w:hAnsi="Times New Roman" w:eastAsia="仿宋_GB2312" w:cs="Times New Roman"/>
          <w:b/>
          <w:bCs/>
          <w:sz w:val="32"/>
          <w:szCs w:val="32"/>
        </w:rPr>
        <w:t>．无人机设计制造</w:t>
      </w:r>
      <w:r>
        <w:rPr>
          <w:rFonts w:hint="default" w:ascii="Times New Roman" w:hAnsi="Times New Roman" w:eastAsia="仿宋_GB2312" w:cs="Times New Roman"/>
          <w:b/>
          <w:bCs/>
          <w:sz w:val="32"/>
          <w:szCs w:val="32"/>
          <w:lang w:eastAsia="zh-CN"/>
        </w:rPr>
        <w:t>技术研究</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rPr>
        <w:t>主要开展低成本可协同高速巡飞攻击无人机、长航时无人机高精度旋转惯导技术、油电混合动力飞行器等技术研究与开发应用。</w:t>
      </w:r>
    </w:p>
    <w:p>
      <w:pPr>
        <w:pStyle w:val="7"/>
        <w:keepNext w:val="0"/>
        <w:keepLines w:val="0"/>
        <w:pageBreakBefore w:val="0"/>
        <w:widowControl w:val="0"/>
        <w:kinsoku/>
        <w:wordWrap/>
        <w:overflowPunct/>
        <w:topLinePunct w:val="0"/>
        <w:autoSpaceDE/>
        <w:autoSpaceDN/>
        <w:bidi w:val="0"/>
        <w:spacing w:line="580" w:lineRule="exact"/>
        <w:ind w:firstLine="643"/>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考核指标：</w:t>
      </w:r>
      <w:r>
        <w:rPr>
          <w:rFonts w:hint="default" w:ascii="Times New Roman" w:hAnsi="Times New Roman" w:eastAsia="仿宋_GB2312" w:cs="Times New Roman"/>
          <w:kern w:val="0"/>
          <w:sz w:val="32"/>
          <w:szCs w:val="32"/>
        </w:rPr>
        <w:t>（1）完成低成本可协同高速巡飞攻击无人机总体技术方案1份，形成数字样机1套，完成高速巡飞攻击无人机测力风洞试验，最大升阻比不小于6；完成高速巡飞攻击无人机协同控制技术报告1份，单网编队数量不少于8；（2）研制基于光纤惯性测量单元的机载旋转惯导样机2套，系统导航位置误差&lt;1km/24h，姿态测量精度&lt;10″，空中自标定时间&lt;30min；（3）研制油电混合动力飞行控制半物理仿真系统1套，飞行器最大起飞重量不大于720kg；有效载荷不低于120kg；采用油电混合动力，额定电功率不低于170kw，满载续航时间不小于45min。实现示范应用或产业化。</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sz w:val="32"/>
          <w:szCs w:val="32"/>
          <w:lang w:eastAsia="zh-CN"/>
        </w:rPr>
      </w:pPr>
      <w:r>
        <w:rPr>
          <w:rFonts w:hint="default" w:ascii="Times New Roman" w:hAnsi="Times New Roman" w:cs="Times New Roman"/>
          <w:b/>
          <w:bCs/>
          <w:sz w:val="32"/>
          <w:szCs w:val="32"/>
        </w:rPr>
        <w:t>7</w:t>
      </w:r>
      <w:r>
        <w:rPr>
          <w:rFonts w:hint="default" w:ascii="Times New Roman" w:hAnsi="Times New Roman" w:eastAsia="仿宋_GB2312" w:cs="Times New Roman"/>
          <w:b/>
          <w:bCs/>
          <w:sz w:val="32"/>
          <w:szCs w:val="32"/>
        </w:rPr>
        <w:t>．直升机设计制造</w:t>
      </w:r>
      <w:r>
        <w:rPr>
          <w:rFonts w:hint="default" w:ascii="Times New Roman" w:hAnsi="Times New Roman" w:eastAsia="仿宋_GB2312" w:cs="Times New Roman"/>
          <w:b/>
          <w:bCs/>
          <w:sz w:val="32"/>
          <w:szCs w:val="32"/>
          <w:lang w:eastAsia="zh-CN"/>
        </w:rPr>
        <w:t>技术研究</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rPr>
        <w:t>主要直升机耐磨易损传动件表面复合强化、叠层构件交点孔高质高效加工、旋翼系统主桨毂与挥舞支臂智能装配等技术研究与开发应用。</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b/>
          <w:bCs/>
          <w:sz w:val="32"/>
          <w:szCs w:val="32"/>
        </w:rPr>
        <w:t>考核指标：</w:t>
      </w:r>
      <w:r>
        <w:rPr>
          <w:rFonts w:hint="default" w:ascii="Times New Roman" w:hAnsi="Times New Roman" w:eastAsia="仿宋_GB2312" w:cs="Times New Roman"/>
          <w:kern w:val="0"/>
          <w:sz w:val="32"/>
          <w:szCs w:val="32"/>
          <w:lang w:val="en-US" w:eastAsia="zh-CN" w:bidi="ar-SA"/>
        </w:rPr>
        <w:t>（1）表面强化层厚度≥50μm，残余压应力幅值≥-300MPa，表面离子注渗层深度≥10μm，表面硬度≥550HV1，传动模拟件复合强化后耐磨性能提升50%及以上，传动模拟件复合强化后疲劳寿命提升50%及以上，交付表面复合强化工艺流程1套；（2）加工孔径覆盖6～16mm，加工材料最大厚度不小于30mm，制孔尺寸精度优于H8级，制孔位置精度优于0.05mm，制孔垂直度优于0.05mm，金属材料孔壁粗糙度优于Ra1.6μm，复合材料孔壁粗糙度优于Ra3.2μm，叠层结构层间孔径偏差小于0.015mm，金属材料孔出口毛刺高度小于0.1mm，交付加工工艺流程1套；（3）研制主桨毂智能装配平台1套；挥舞支臂调姿定位精度优于±0.05mm；装配系统负载不低于80kg；装配效率较人工装配提升50%。实现示范应用或产业化。</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二、先进制造与装备</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lang w:val="en-US" w:eastAsia="zh-CN"/>
        </w:rPr>
        <w:t>8</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sz w:val="32"/>
          <w:szCs w:val="32"/>
          <w:highlight w:val="none"/>
        </w:rPr>
        <w:t>先进半导体制造技术研究</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研究内容：</w:t>
      </w:r>
      <w:r>
        <w:rPr>
          <w:rFonts w:hint="default" w:ascii="Times New Roman" w:hAnsi="Times New Roman" w:eastAsia="仿宋_GB2312" w:cs="Times New Roman"/>
          <w:sz w:val="32"/>
          <w:szCs w:val="32"/>
          <w:highlight w:val="none"/>
        </w:rPr>
        <w:t>重点开展8英寸蓝宝石Mini LED外延生长工艺及加热控制系统、高精度泰伯光刻设备关键技术</w:t>
      </w:r>
      <w:r>
        <w:rPr>
          <w:rFonts w:hint="default" w:ascii="Times New Roman" w:hAnsi="Times New Roman" w:eastAsia="仿宋_GB2312" w:cs="Times New Roman"/>
          <w:sz w:val="32"/>
          <w:szCs w:val="32"/>
          <w:highlight w:val="none"/>
          <w:lang w:eastAsia="zh-CN"/>
        </w:rPr>
        <w:t>、基于第三代半导体圆片的高爬电加强型功率器件</w:t>
      </w:r>
      <w:r>
        <w:rPr>
          <w:rFonts w:hint="default" w:ascii="Times New Roman" w:hAnsi="Times New Roman" w:eastAsia="仿宋_GB2312" w:cs="Times New Roman"/>
          <w:sz w:val="32"/>
          <w:szCs w:val="32"/>
          <w:highlight w:val="none"/>
        </w:rPr>
        <w:t>等</w:t>
      </w:r>
      <w:r>
        <w:rPr>
          <w:rFonts w:hint="default" w:ascii="Times New Roman" w:hAnsi="Times New Roman" w:eastAsia="仿宋_GB2312" w:cs="Times New Roman"/>
          <w:sz w:val="32"/>
          <w:szCs w:val="32"/>
          <w:highlight w:val="none"/>
          <w:lang w:eastAsia="zh-CN"/>
        </w:rPr>
        <w:t>技术</w:t>
      </w:r>
      <w:r>
        <w:rPr>
          <w:rFonts w:hint="default" w:ascii="Times New Roman" w:hAnsi="Times New Roman" w:eastAsia="仿宋_GB2312" w:cs="Times New Roman"/>
          <w:sz w:val="32"/>
          <w:szCs w:val="32"/>
          <w:highlight w:val="none"/>
        </w:rPr>
        <w:t>研究与开发应用。</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b/>
          <w:bCs/>
          <w:sz w:val="32"/>
          <w:szCs w:val="32"/>
          <w:highlight w:val="none"/>
        </w:rPr>
        <w:t>考核指标：</w:t>
      </w:r>
      <w:r>
        <w:rPr>
          <w:rFonts w:hint="default" w:ascii="Times New Roman" w:hAnsi="Times New Roman" w:eastAsia="仿宋_GB2312" w:cs="Times New Roman"/>
          <w:kern w:val="0"/>
          <w:sz w:val="32"/>
          <w:szCs w:val="32"/>
          <w:lang w:val="en-US" w:eastAsia="zh-CN" w:bidi="ar-SA"/>
        </w:rPr>
        <w:t>（1）8英寸蓝宝石Mini LED外延工艺及加热控制系统，温度控制精度≤±1℃，单炉产出≥6片8英寸片；产出8英寸蓝宝石外延片厚度均匀性（1σ）≤1.8%，内波长均匀性（1σ）≤1.6nm，外延片间波长均匀性（1σ）≤1.6nm；（2）研制高精度泰伯光刻设备1台套；实现高精度光栅的光刻曝光，最小线宽优于200纳米，单次曝光面积达到4寸；开发高精度石英相位掩模板，尺寸5寸以上，线宽精度误差优于±40纳米；（3）SiC圆片在划片后芯片背面缺损宽度小于50μm，正面缺损宽度小于20μm，装片精度X/Y小于±33μm，角度误差小于±0.5°，芯片倾斜＜45μm，单个空洞率小于焊接面积的2%，累计空洞率小于焊接面积的5%，封装合格率≥99.5%，不牺牲基岛尺寸前提下提升爬电距离10%以上。实现示范应用或产业化。</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lang w:val="en-US" w:eastAsia="zh-CN"/>
        </w:rPr>
        <w:t>9</w:t>
      </w:r>
      <w:r>
        <w:rPr>
          <w:rFonts w:hint="default" w:ascii="Times New Roman" w:hAnsi="Times New Roman" w:eastAsia="仿宋_GB2312" w:cs="Times New Roman"/>
          <w:b/>
          <w:bCs/>
          <w:sz w:val="32"/>
          <w:szCs w:val="32"/>
          <w:highlight w:val="none"/>
        </w:rPr>
        <w:t xml:space="preserve">．智能检测与诊断技术研究 </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研究内容：</w:t>
      </w:r>
      <w:r>
        <w:rPr>
          <w:rFonts w:hint="default" w:ascii="Times New Roman" w:hAnsi="Times New Roman" w:eastAsia="仿宋_GB2312" w:cs="Times New Roman"/>
          <w:sz w:val="32"/>
          <w:szCs w:val="32"/>
          <w:highlight w:val="none"/>
        </w:rPr>
        <w:t>主要开展高性能滚动轴承检测与诊断关键技术及装备、基于多目结构光三维精密测量与智能检测关键技术、铝合金棒材智能化高精度超声检测技术及系统等</w:t>
      </w:r>
      <w:r>
        <w:rPr>
          <w:rFonts w:hint="default" w:ascii="Times New Roman" w:hAnsi="Times New Roman" w:eastAsia="仿宋_GB2312" w:cs="Times New Roman"/>
          <w:sz w:val="32"/>
          <w:szCs w:val="32"/>
          <w:highlight w:val="none"/>
          <w:lang w:eastAsia="zh-CN"/>
        </w:rPr>
        <w:t>技术</w:t>
      </w:r>
      <w:r>
        <w:rPr>
          <w:rFonts w:hint="default" w:ascii="Times New Roman" w:hAnsi="Times New Roman" w:eastAsia="仿宋_GB2312" w:cs="Times New Roman"/>
          <w:sz w:val="32"/>
          <w:szCs w:val="32"/>
          <w:highlight w:val="none"/>
        </w:rPr>
        <w:t>研究与开发应用。</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sz w:val="32"/>
          <w:szCs w:val="32"/>
          <w:highlight w:val="none"/>
        </w:rPr>
        <w:t>考核指标：</w:t>
      </w:r>
      <w:r>
        <w:rPr>
          <w:rFonts w:hint="default" w:ascii="Times New Roman" w:hAnsi="Times New Roman" w:eastAsia="仿宋_GB2312" w:cs="Times New Roman"/>
          <w:kern w:val="0"/>
          <w:sz w:val="32"/>
          <w:szCs w:val="32"/>
          <w:highlight w:val="none"/>
        </w:rPr>
        <w:t>（1）研制便携式制造设备轴承故障检测仪2台；开发滚动轴承故障诊断技术2项，轴承故障诊断判别率不低于95%，故障诊断时间少于1s，采样值误差±1%，最大测量值500 m/s</w:t>
      </w:r>
      <w:r>
        <w:rPr>
          <w:rFonts w:hint="default" w:ascii="Times New Roman" w:hAnsi="Times New Roman" w:eastAsia="仿宋_GB2312" w:cs="Times New Roman"/>
          <w:kern w:val="0"/>
          <w:sz w:val="32"/>
          <w:szCs w:val="32"/>
          <w:highlight w:val="none"/>
          <w:vertAlign w:val="superscript"/>
        </w:rPr>
        <w:t>2</w:t>
      </w:r>
      <w:r>
        <w:rPr>
          <w:rFonts w:hint="default" w:ascii="Times New Roman" w:hAnsi="Times New Roman" w:eastAsia="仿宋_GB2312" w:cs="Times New Roman"/>
          <w:kern w:val="0"/>
          <w:sz w:val="32"/>
          <w:szCs w:val="32"/>
          <w:highlight w:val="none"/>
        </w:rPr>
        <w:t>，测量范围10-10k</w:t>
      </w:r>
      <w:r>
        <w:rPr>
          <w:rFonts w:hint="default" w:ascii="Times New Roman" w:hAnsi="Times New Roman" w:eastAsia="仿宋_GB2312" w:cs="Times New Roman"/>
          <w:kern w:val="0"/>
          <w:sz w:val="32"/>
          <w:szCs w:val="32"/>
          <w:highlight w:val="none"/>
          <w:lang w:val="en-US" w:eastAsia="zh-CN"/>
        </w:rPr>
        <w:t xml:space="preserve"> </w:t>
      </w:r>
      <w:r>
        <w:rPr>
          <w:rFonts w:hint="default" w:ascii="Times New Roman" w:hAnsi="Times New Roman" w:eastAsia="仿宋_GB2312" w:cs="Times New Roman"/>
          <w:kern w:val="0"/>
          <w:sz w:val="32"/>
          <w:szCs w:val="32"/>
          <w:highlight w:val="none"/>
        </w:rPr>
        <w:t>Hz</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（2）研制结构光测量与智能检测装备可一次性完成不小于100mm×200mm测量视场的测量，单场深度精度优于0.01mm，可完成每秒不少于10帧的高精度三维点云</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（3）研制航空棒材高精度超声智能化检测设备1台套，开发大规模检测数据分析与处理技术1项，研发缺陷超声检测特征智能识别技术各1项；实现深度80mm、直径≥0.2mm平底孔当量尺寸缺陷的定量无损检测</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实现示范应用或产业化。</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bCs/>
          <w:sz w:val="32"/>
          <w:szCs w:val="32"/>
          <w:highlight w:val="none"/>
          <w:lang w:val="en-US" w:eastAsia="zh-CN"/>
        </w:rPr>
        <w:t>10</w:t>
      </w:r>
      <w:r>
        <w:rPr>
          <w:rFonts w:hint="default" w:ascii="Times New Roman" w:hAnsi="Times New Roman" w:eastAsia="仿宋_GB2312" w:cs="Times New Roman"/>
          <w:b/>
          <w:bCs/>
          <w:sz w:val="32"/>
          <w:szCs w:val="32"/>
          <w:highlight w:val="none"/>
        </w:rPr>
        <w:t>．</w:t>
      </w:r>
      <w:r>
        <w:rPr>
          <w:rFonts w:hint="default" w:ascii="Times New Roman" w:hAnsi="Times New Roman" w:eastAsia="仿宋_GB2312" w:cs="Times New Roman"/>
          <w:b/>
          <w:color w:val="auto"/>
          <w:sz w:val="32"/>
          <w:szCs w:val="32"/>
          <w:highlight w:val="none"/>
          <w:lang w:eastAsia="zh-CN"/>
        </w:rPr>
        <w:t>先进</w:t>
      </w:r>
      <w:r>
        <w:rPr>
          <w:rFonts w:hint="default" w:ascii="Times New Roman" w:hAnsi="Times New Roman" w:eastAsia="仿宋_GB2312" w:cs="Times New Roman"/>
          <w:b/>
          <w:bCs/>
          <w:color w:val="auto"/>
          <w:sz w:val="32"/>
          <w:szCs w:val="32"/>
          <w:highlight w:val="none"/>
        </w:rPr>
        <w:t>材料</w:t>
      </w:r>
      <w:r>
        <w:rPr>
          <w:rFonts w:hint="default" w:ascii="Times New Roman" w:hAnsi="Times New Roman" w:eastAsia="仿宋_GB2312" w:cs="Times New Roman"/>
          <w:b/>
          <w:bCs/>
          <w:color w:val="auto"/>
          <w:sz w:val="32"/>
          <w:szCs w:val="32"/>
          <w:highlight w:val="none"/>
          <w:lang w:eastAsia="zh-CN"/>
        </w:rPr>
        <w:t>精密制造</w:t>
      </w:r>
      <w:r>
        <w:rPr>
          <w:rFonts w:hint="default" w:ascii="Times New Roman" w:hAnsi="Times New Roman" w:eastAsia="仿宋_GB2312" w:cs="Times New Roman"/>
          <w:b/>
          <w:bCs/>
          <w:color w:val="auto"/>
          <w:sz w:val="32"/>
          <w:szCs w:val="32"/>
          <w:highlight w:val="none"/>
        </w:rPr>
        <w:t>技术研究</w:t>
      </w:r>
    </w:p>
    <w:p>
      <w:pPr>
        <w:pStyle w:val="7"/>
        <w:keepNext w:val="0"/>
        <w:keepLines w:val="0"/>
        <w:pageBreakBefore w:val="0"/>
        <w:widowControl w:val="0"/>
        <w:kinsoku/>
        <w:wordWrap/>
        <w:overflowPunct/>
        <w:topLinePunct w:val="0"/>
        <w:autoSpaceDE/>
        <w:autoSpaceDN/>
        <w:bidi w:val="0"/>
        <w:spacing w:line="580" w:lineRule="exact"/>
        <w:ind w:firstLine="643"/>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color w:val="auto"/>
          <w:sz w:val="32"/>
          <w:szCs w:val="32"/>
          <w:highlight w:val="none"/>
        </w:rPr>
        <w:t>主要开展纳米晶须增强Al</w:t>
      </w:r>
      <w:r>
        <w:rPr>
          <w:rFonts w:hint="default" w:ascii="Times New Roman" w:hAnsi="Times New Roman" w:eastAsia="仿宋_GB2312" w:cs="Times New Roman"/>
          <w:color w:val="auto"/>
          <w:sz w:val="32"/>
          <w:szCs w:val="32"/>
          <w:highlight w:val="none"/>
          <w:vertAlign w:val="subscript"/>
        </w:rPr>
        <w:t>2</w:t>
      </w:r>
      <w:r>
        <w:rPr>
          <w:rFonts w:hint="default" w:ascii="Times New Roman" w:hAnsi="Times New Roman" w:eastAsia="仿宋_GB2312" w:cs="Times New Roman"/>
          <w:color w:val="auto"/>
          <w:sz w:val="32"/>
          <w:szCs w:val="32"/>
          <w:highlight w:val="none"/>
        </w:rPr>
        <w:t>O</w:t>
      </w:r>
      <w:r>
        <w:rPr>
          <w:rFonts w:hint="default" w:ascii="Times New Roman" w:hAnsi="Times New Roman" w:eastAsia="仿宋_GB2312" w:cs="Times New Roman"/>
          <w:color w:val="auto"/>
          <w:sz w:val="32"/>
          <w:szCs w:val="32"/>
          <w:highlight w:val="none"/>
          <w:vertAlign w:val="subscript"/>
        </w:rPr>
        <w:t>3</w:t>
      </w:r>
      <w:r>
        <w:rPr>
          <w:rFonts w:hint="default" w:ascii="Times New Roman" w:hAnsi="Times New Roman" w:eastAsia="仿宋_GB2312" w:cs="Times New Roman"/>
          <w:color w:val="auto"/>
          <w:sz w:val="32"/>
          <w:szCs w:val="32"/>
          <w:highlight w:val="none"/>
        </w:rPr>
        <w:t>-Si</w:t>
      </w:r>
      <w:r>
        <w:rPr>
          <w:rFonts w:hint="default" w:ascii="Times New Roman" w:hAnsi="Times New Roman" w:eastAsia="仿宋_GB2312" w:cs="Times New Roman"/>
          <w:color w:val="auto"/>
          <w:sz w:val="32"/>
          <w:szCs w:val="32"/>
          <w:highlight w:val="none"/>
          <w:vertAlign w:val="subscript"/>
        </w:rPr>
        <w:t>3</w:t>
      </w:r>
      <w:r>
        <w:rPr>
          <w:rFonts w:hint="default" w:ascii="Times New Roman" w:hAnsi="Times New Roman" w:eastAsia="仿宋_GB2312" w:cs="Times New Roman"/>
          <w:color w:val="auto"/>
          <w:sz w:val="32"/>
          <w:szCs w:val="32"/>
          <w:highlight w:val="none"/>
        </w:rPr>
        <w:t>N</w:t>
      </w:r>
      <w:r>
        <w:rPr>
          <w:rFonts w:hint="default" w:ascii="Times New Roman" w:hAnsi="Times New Roman" w:eastAsia="仿宋_GB2312" w:cs="Times New Roman"/>
          <w:color w:val="auto"/>
          <w:sz w:val="32"/>
          <w:szCs w:val="32"/>
          <w:highlight w:val="none"/>
          <w:vertAlign w:val="subscript"/>
        </w:rPr>
        <w:t>4</w:t>
      </w:r>
      <w:r>
        <w:rPr>
          <w:rFonts w:hint="default" w:ascii="Times New Roman" w:hAnsi="Times New Roman" w:eastAsia="仿宋_GB2312" w:cs="Times New Roman"/>
          <w:color w:val="auto"/>
          <w:sz w:val="32"/>
          <w:szCs w:val="32"/>
          <w:highlight w:val="none"/>
        </w:rPr>
        <w:t>陶瓷刀具材料及成套制备装备、复杂先进陶瓷零件增减材复合精密制造制备装备、微结构精密柔性金刚石切削</w:t>
      </w:r>
      <w:r>
        <w:rPr>
          <w:rFonts w:hint="default" w:ascii="Times New Roman" w:hAnsi="Times New Roman" w:eastAsia="仿宋_GB2312" w:cs="Times New Roman"/>
          <w:color w:val="auto"/>
          <w:sz w:val="32"/>
          <w:szCs w:val="32"/>
          <w:highlight w:val="none"/>
          <w:lang w:eastAsia="zh-CN"/>
        </w:rPr>
        <w:t>加工、先进分离材料制备及过程控制装备、基于气溶胶喷射打印的微尺度增材制造</w:t>
      </w:r>
      <w:r>
        <w:rPr>
          <w:rFonts w:hint="default" w:ascii="Times New Roman" w:hAnsi="Times New Roman" w:eastAsia="仿宋_GB2312" w:cs="Times New Roman"/>
          <w:color w:val="auto"/>
          <w:sz w:val="32"/>
          <w:szCs w:val="32"/>
          <w:highlight w:val="none"/>
        </w:rPr>
        <w:t>等技术研究与开发应用。</w:t>
      </w:r>
    </w:p>
    <w:p>
      <w:pPr>
        <w:pStyle w:val="7"/>
        <w:keepNext w:val="0"/>
        <w:keepLines w:val="0"/>
        <w:pageBreakBefore w:val="0"/>
        <w:widowControl w:val="0"/>
        <w:kinsoku/>
        <w:wordWrap/>
        <w:overflowPunct/>
        <w:topLinePunct w:val="0"/>
        <w:autoSpaceDE/>
        <w:autoSpaceDN/>
        <w:bidi w:val="0"/>
        <w:spacing w:line="580" w:lineRule="exact"/>
        <w:ind w:firstLine="643"/>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color w:val="auto"/>
          <w:sz w:val="32"/>
          <w:szCs w:val="32"/>
          <w:highlight w:val="none"/>
        </w:rPr>
        <w:t>（1）研制高硬高强合金材料高速加工用先进陶瓷刀具新材料2项，陶瓷刀具材料抗弯强度≥1100MPa，HV硬度≥18GPa，抗压强度≥4000MPa，抗断裂强度≥250MPa，在1300℃以上高温下仍能进行切削，要求1300℃时刀具材料硬度≥80HRA；（2）陶瓷零件增减材复合精密制造制备装备：共挤速度≥20mm/s，连续纤维布置在先进陶瓷基体中的准确率≥80%，弯曲强度≥300MPa，断裂韧性达到5～6MPa·m</w:t>
      </w:r>
      <w:r>
        <w:rPr>
          <w:rFonts w:hint="default" w:ascii="Times New Roman" w:hAnsi="Times New Roman" w:eastAsia="仿宋_GB2312" w:cs="Times New Roman"/>
          <w:color w:val="auto"/>
          <w:sz w:val="32"/>
          <w:szCs w:val="32"/>
          <w:highlight w:val="none"/>
          <w:vertAlign w:val="superscript"/>
        </w:rPr>
        <w:t>1/2</w:t>
      </w:r>
      <w:r>
        <w:rPr>
          <w:rFonts w:hint="default" w:ascii="Times New Roman" w:hAnsi="Times New Roman" w:eastAsia="仿宋_GB2312" w:cs="Times New Roman"/>
          <w:color w:val="auto"/>
          <w:sz w:val="32"/>
          <w:szCs w:val="32"/>
          <w:highlight w:val="none"/>
        </w:rPr>
        <w:t>；超声旋转加工转速≥3000转/分，超声功率≥3kW，表面粗糙度Ra≤0.45</w:t>
      </w:r>
      <w:r>
        <w:rPr>
          <w:rFonts w:hint="default" w:ascii="Times New Roman" w:hAnsi="Times New Roman" w:eastAsia="仿宋_GB2312" w:cs="Times New Roman"/>
          <w:i/>
          <w:color w:val="auto"/>
          <w:sz w:val="32"/>
          <w:szCs w:val="32"/>
          <w:highlight w:val="none"/>
        </w:rPr>
        <w:t>μ</w:t>
      </w:r>
      <w:r>
        <w:rPr>
          <w:rFonts w:hint="default" w:ascii="Times New Roman" w:hAnsi="Times New Roman" w:eastAsia="仿宋_GB2312" w:cs="Times New Roman"/>
          <w:color w:val="auto"/>
          <w:sz w:val="32"/>
          <w:szCs w:val="32"/>
          <w:highlight w:val="none"/>
        </w:rPr>
        <w:t>m，尺寸精度IT6-IT5；成型加工样机1台；（3）研制并行3D快刀切削装置1台套，响应/固有频率≥500Hz、任一轴行程≥10纳米；开发多场源融合精准调控的新控制技术1项，运动精度≤5纳米；开发微结构创成的新加工工艺优化方法1项；加工典型大辊筒微结构，辊筒长≥0.3米、直径≥0.1米，微结构面形精度PV≤100纳米、表面粗糙度Sa≤10纳米</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）实现多组分体系中低碳烯烃的一步分离纯化，炔烃吸附量≥3 mmol/g，烷烃吸附量≥2.5 mmol/g；研制出不少于3种先进分离材料，一步分离的烯烃纯度≥99.9%，杂质炔烃含量≤100 ppm;研发2-3种分离材料的公斤级制备方法和2-3种低性能损耗的分离材料成型方法，吸附量保持率≥80%，分离选择性保持率≥90%；（</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开发气溶胶喷射打印成套技术1~2项，研制精密电子器件打印装备1-2台套、集成打印头2~3套、可调功率雾化系统2套；实现最低打印线宽≤15μm、最优打印速度≥50mm/s、重复定位精度±3微米、打印墨水粘度范围0至1000cP</w:t>
      </w:r>
      <w:r>
        <w:rPr>
          <w:rFonts w:hint="default" w:ascii="Times New Roman" w:hAnsi="Times New Roman" w:eastAsia="仿宋_GB2312" w:cs="Times New Roman"/>
          <w:color w:val="auto"/>
          <w:sz w:val="32"/>
          <w:szCs w:val="32"/>
          <w:highlight w:val="none"/>
        </w:rPr>
        <w:t>。实现示范应用或产业化。</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11</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电力/电缆制造</w:t>
      </w:r>
      <w:r>
        <w:rPr>
          <w:rFonts w:hint="default" w:ascii="Times New Roman" w:hAnsi="Times New Roman" w:eastAsia="仿宋_GB2312" w:cs="Times New Roman"/>
          <w:b/>
          <w:bCs/>
          <w:color w:val="auto"/>
          <w:sz w:val="32"/>
          <w:szCs w:val="32"/>
          <w:highlight w:val="none"/>
          <w:lang w:eastAsia="zh-CN"/>
        </w:rPr>
        <w:t>技术</w:t>
      </w:r>
      <w:r>
        <w:rPr>
          <w:rFonts w:hint="default" w:ascii="Times New Roman" w:hAnsi="Times New Roman" w:eastAsia="仿宋_GB2312" w:cs="Times New Roman"/>
          <w:b/>
          <w:bCs/>
          <w:color w:val="auto"/>
          <w:sz w:val="32"/>
          <w:szCs w:val="32"/>
          <w:highlight w:val="none"/>
        </w:rPr>
        <w:t>研究</w:t>
      </w:r>
    </w:p>
    <w:p>
      <w:pPr>
        <w:pStyle w:val="7"/>
        <w:keepNext w:val="0"/>
        <w:keepLines w:val="0"/>
        <w:pageBreakBefore w:val="0"/>
        <w:widowControl w:val="0"/>
        <w:kinsoku/>
        <w:wordWrap/>
        <w:overflowPunct/>
        <w:topLinePunct w:val="0"/>
        <w:autoSpaceDE/>
        <w:autoSpaceDN/>
        <w:bidi w:val="0"/>
        <w:spacing w:line="580" w:lineRule="exact"/>
        <w:ind w:firstLine="643"/>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color w:val="auto"/>
          <w:sz w:val="32"/>
          <w:szCs w:val="32"/>
          <w:highlight w:val="none"/>
        </w:rPr>
        <w:t>主要开展高温超导带材多层绕制装备、多通道低噪声燃气轮机发电机</w:t>
      </w:r>
      <w:r>
        <w:rPr>
          <w:rFonts w:hint="default" w:ascii="Times New Roman" w:hAnsi="Times New Roman" w:eastAsia="仿宋_GB2312" w:cs="Times New Roman"/>
          <w:color w:val="auto"/>
          <w:sz w:val="32"/>
          <w:szCs w:val="32"/>
          <w:highlight w:val="none"/>
          <w:lang w:eastAsia="zh-CN"/>
        </w:rPr>
        <w:t>组</w:t>
      </w:r>
      <w:r>
        <w:rPr>
          <w:rFonts w:hint="default" w:ascii="Times New Roman" w:hAnsi="Times New Roman" w:eastAsia="仿宋_GB2312" w:cs="Times New Roman"/>
          <w:color w:val="auto"/>
          <w:sz w:val="32"/>
          <w:szCs w:val="32"/>
          <w:highlight w:val="none"/>
        </w:rPr>
        <w:t>、特高压输变电绝缘子产品缺陷智能检测装备</w:t>
      </w:r>
      <w:r>
        <w:rPr>
          <w:rFonts w:hint="default" w:ascii="Times New Roman" w:hAnsi="Times New Roman" w:eastAsia="仿宋_GB2312" w:cs="Times New Roman"/>
          <w:color w:val="auto"/>
          <w:sz w:val="32"/>
          <w:szCs w:val="32"/>
          <w:highlight w:val="none"/>
          <w:lang w:eastAsia="zh-CN"/>
        </w:rPr>
        <w:t>、新一代110 kV高压聚丙烯绝缘电力电缆等</w:t>
      </w:r>
      <w:r>
        <w:rPr>
          <w:rFonts w:hint="default" w:ascii="Times New Roman" w:hAnsi="Times New Roman" w:eastAsia="仿宋_GB2312" w:cs="Times New Roman"/>
          <w:color w:val="auto"/>
          <w:sz w:val="32"/>
          <w:szCs w:val="32"/>
          <w:highlight w:val="none"/>
        </w:rPr>
        <w:t>技术研究与开发应用。</w:t>
      </w:r>
    </w:p>
    <w:p>
      <w:pPr>
        <w:pStyle w:val="7"/>
        <w:keepNext w:val="0"/>
        <w:keepLines w:val="0"/>
        <w:pageBreakBefore w:val="0"/>
        <w:widowControl w:val="0"/>
        <w:kinsoku/>
        <w:wordWrap/>
        <w:overflowPunct/>
        <w:topLinePunct w:val="0"/>
        <w:autoSpaceDE/>
        <w:autoSpaceDN/>
        <w:bidi w:val="0"/>
        <w:spacing w:line="580" w:lineRule="exact"/>
        <w:ind w:firstLine="643"/>
        <w:jc w:val="both"/>
        <w:textAlignment w:val="auto"/>
        <w:rPr>
          <w:rFonts w:hint="default" w:ascii="Times New Roman" w:hAnsi="Times New Roman" w:eastAsia="仿宋_GB2312" w:cs="Times New Roman"/>
          <w:color w:val="FF0000"/>
          <w:sz w:val="32"/>
          <w:szCs w:val="32"/>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color w:val="auto"/>
          <w:sz w:val="32"/>
          <w:szCs w:val="32"/>
          <w:highlight w:val="none"/>
        </w:rPr>
        <w:t>（1）高温超导带材多层绕制装备：适用高温超导带材宽度范围1-6mm，可同时绕制带材数6-9根；绕制速度0</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sz w:val="32"/>
          <w:szCs w:val="32"/>
          <w:highlight w:val="none"/>
        </w:rPr>
        <w:t>10m/h</w:t>
      </w:r>
      <w:r>
        <w:rPr>
          <w:rFonts w:hint="default" w:ascii="Times New Roman" w:hAnsi="Times New Roman" w:eastAsia="仿宋_GB2312" w:cs="Times New Roman"/>
          <w:color w:val="auto"/>
          <w:sz w:val="32"/>
          <w:szCs w:val="32"/>
          <w:highlight w:val="none"/>
          <w:lang w:val="en-US" w:eastAsia="zh-CN"/>
        </w:rPr>
        <w:t>可调</w:t>
      </w:r>
      <w:r>
        <w:rPr>
          <w:rFonts w:hint="default" w:ascii="Times New Roman" w:hAnsi="Times New Roman" w:eastAsia="仿宋_GB2312" w:cs="Times New Roman"/>
          <w:color w:val="auto"/>
          <w:sz w:val="32"/>
          <w:szCs w:val="32"/>
          <w:highlight w:val="none"/>
        </w:rPr>
        <w:t>，绕制角度范围40-70°，绕包及牵引的力值波动范围控制在±0.5N以内，超导带材绕制变形度小于微米级，单根缆长度可以＞100m;（2）燃机舱平均温度≤70℃</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3200KW箱式机型满载1米处机组噪声≤85 dB（A）</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振动分析计算模型的分析结果与实际符合度达90%，机组振动位移值（公共底盘）≤50μm p-p，其他位置振动位移值≤150μm p-p；（3）特高压输变电绝缘子产品缺陷智能检测装备：研制成套设备2台套，绝缘子产品缺陷识别率不低于99%，产品缺陷识别效率提升50%以上，综合产品合格率提高1.5%以上</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）电气性能满足局放电压试验和热循环电压试验；非电气性能：绝缘偏心度≤10%、绝缘老化前抗张强度≥15 N/mm</w:t>
      </w:r>
      <w:r>
        <w:rPr>
          <w:rFonts w:hint="default" w:ascii="Times New Roman" w:hAnsi="Times New Roman" w:eastAsia="仿宋_GB2312" w:cs="Times New Roman"/>
          <w:color w:val="auto"/>
          <w:sz w:val="32"/>
          <w:szCs w:val="32"/>
          <w:highlight w:val="none"/>
          <w:lang w:val="en-US" w:eastAsia="zh-CN"/>
        </w:rPr>
        <w:t>²</w:t>
      </w:r>
      <w:r>
        <w:rPr>
          <w:rFonts w:hint="default" w:ascii="Times New Roman" w:hAnsi="Times New Roman" w:eastAsia="仿宋_GB2312" w:cs="Times New Roman"/>
          <w:color w:val="auto"/>
          <w:sz w:val="32"/>
          <w:szCs w:val="32"/>
          <w:highlight w:val="none"/>
          <w:lang w:eastAsia="zh-CN"/>
        </w:rPr>
        <w:t>、断裂伸长率≥300%。</w:t>
      </w:r>
      <w:r>
        <w:rPr>
          <w:rFonts w:hint="default" w:ascii="Times New Roman" w:hAnsi="Times New Roman" w:eastAsia="仿宋_GB2312" w:cs="Times New Roman"/>
          <w:color w:val="auto"/>
          <w:kern w:val="0"/>
          <w:sz w:val="32"/>
          <w:szCs w:val="32"/>
          <w:highlight w:val="none"/>
        </w:rPr>
        <w:t>实现示范应用或产业化。</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lang w:val="en-US" w:eastAsia="zh-CN"/>
        </w:rPr>
        <w:t>12</w:t>
      </w:r>
      <w:r>
        <w:rPr>
          <w:rFonts w:hint="default" w:ascii="Times New Roman" w:hAnsi="Times New Roman" w:eastAsia="仿宋_GB2312" w:cs="Times New Roman"/>
          <w:b/>
          <w:bCs/>
          <w:sz w:val="32"/>
          <w:szCs w:val="32"/>
          <w:highlight w:val="none"/>
        </w:rPr>
        <w:t>．</w:t>
      </w:r>
      <w:r>
        <w:rPr>
          <w:rFonts w:hint="default" w:ascii="Times New Roman" w:hAnsi="Times New Roman" w:eastAsia="仿宋_GB2312" w:cs="Times New Roman"/>
          <w:b/>
          <w:bCs/>
          <w:sz w:val="32"/>
          <w:szCs w:val="32"/>
          <w:highlight w:val="none"/>
          <w:lang w:eastAsia="zh-CN"/>
        </w:rPr>
        <w:t>高端数控机床加工</w:t>
      </w:r>
      <w:r>
        <w:rPr>
          <w:rFonts w:hint="default" w:ascii="Times New Roman" w:hAnsi="Times New Roman" w:eastAsia="仿宋_GB2312" w:cs="Times New Roman"/>
          <w:b/>
          <w:bCs/>
          <w:sz w:val="32"/>
          <w:szCs w:val="32"/>
          <w:highlight w:val="none"/>
        </w:rPr>
        <w:t>技术研究</w:t>
      </w:r>
      <w:r>
        <w:rPr>
          <w:rFonts w:hint="default" w:ascii="Times New Roman" w:hAnsi="Times New Roman" w:eastAsia="仿宋_GB2312" w:cs="Times New Roman"/>
          <w:b/>
          <w:bCs/>
          <w:color w:val="auto"/>
          <w:sz w:val="32"/>
          <w:szCs w:val="32"/>
          <w:highlight w:val="none"/>
        </w:rPr>
        <w:t>（青年科学家项目）</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sz w:val="32"/>
          <w:szCs w:val="32"/>
          <w:highlight w:val="none"/>
        </w:rPr>
        <w:t>研究内容：</w:t>
      </w:r>
      <w:r>
        <w:rPr>
          <w:rFonts w:hint="default" w:ascii="Times New Roman" w:hAnsi="Times New Roman" w:eastAsia="仿宋_GB2312" w:cs="Times New Roman"/>
          <w:bCs/>
          <w:sz w:val="32"/>
          <w:szCs w:val="32"/>
          <w:highlight w:val="none"/>
        </w:rPr>
        <w:t>主要开展</w:t>
      </w:r>
      <w:r>
        <w:rPr>
          <w:rFonts w:hint="default" w:ascii="Times New Roman" w:hAnsi="Times New Roman" w:eastAsia="仿宋_GB2312" w:cs="Times New Roman"/>
          <w:sz w:val="32"/>
          <w:szCs w:val="32"/>
          <w:highlight w:val="none"/>
        </w:rPr>
        <w:t>钛合金数控电火花成形</w:t>
      </w:r>
      <w:r>
        <w:rPr>
          <w:rFonts w:hint="default" w:ascii="Times New Roman" w:hAnsi="Times New Roman" w:eastAsia="仿宋_GB2312" w:cs="Times New Roman"/>
          <w:sz w:val="32"/>
          <w:szCs w:val="32"/>
          <w:highlight w:val="none"/>
          <w:lang w:eastAsia="zh-CN"/>
        </w:rPr>
        <w:t>加工装备、</w:t>
      </w:r>
      <w:r>
        <w:rPr>
          <w:rFonts w:hint="default" w:ascii="Times New Roman" w:hAnsi="Times New Roman" w:eastAsia="仿宋_GB2312" w:cs="Times New Roman"/>
          <w:bCs/>
          <w:sz w:val="32"/>
          <w:szCs w:val="32"/>
          <w:highlight w:val="none"/>
        </w:rPr>
        <w:t>大行程高可靠性直线导轨关键技术及磨削装备</w:t>
      </w:r>
      <w:r>
        <w:rPr>
          <w:rFonts w:hint="default" w:ascii="Times New Roman" w:hAnsi="Times New Roman" w:eastAsia="仿宋_GB2312" w:cs="Times New Roman"/>
          <w:sz w:val="32"/>
          <w:szCs w:val="32"/>
          <w:highlight w:val="none"/>
          <w:lang w:eastAsia="zh-CN"/>
        </w:rPr>
        <w:t>、切削加工过程的虚实结合数字化孪生等技术研究与开发应用。</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sz w:val="32"/>
          <w:szCs w:val="32"/>
          <w:highlight w:val="none"/>
          <w:lang w:eastAsia="zh-CN"/>
        </w:rPr>
        <w:t>考核指标：</w:t>
      </w:r>
      <w:r>
        <w:rPr>
          <w:rFonts w:hint="default" w:ascii="Times New Roman" w:hAnsi="Times New Roman" w:eastAsia="仿宋_GB2312" w:cs="Times New Roman"/>
          <w:bCs/>
          <w:sz w:val="32"/>
          <w:szCs w:val="32"/>
          <w:highlight w:val="none"/>
        </w:rPr>
        <w:t>（</w:t>
      </w:r>
      <w:r>
        <w:rPr>
          <w:rFonts w:hint="default" w:ascii="Times New Roman" w:hAnsi="Times New Roman" w:eastAsia="仿宋_GB2312" w:cs="Times New Roman"/>
          <w:bCs/>
          <w:sz w:val="32"/>
          <w:szCs w:val="32"/>
          <w:highlight w:val="none"/>
          <w:lang w:val="en-US" w:eastAsia="zh-CN"/>
        </w:rPr>
        <w:t>1</w:t>
      </w:r>
      <w:r>
        <w:rPr>
          <w:rFonts w:hint="default" w:ascii="Times New Roman" w:hAnsi="Times New Roman" w:eastAsia="仿宋_GB2312" w:cs="Times New Roman"/>
          <w:bCs/>
          <w:sz w:val="32"/>
          <w:szCs w:val="32"/>
          <w:highlight w:val="none"/>
        </w:rPr>
        <w:t>）</w:t>
      </w:r>
      <w:r>
        <w:rPr>
          <w:rFonts w:hint="default" w:ascii="Times New Roman" w:hAnsi="Times New Roman" w:eastAsia="仿宋_GB2312" w:cs="Times New Roman"/>
          <w:kern w:val="0"/>
          <w:sz w:val="32"/>
          <w:szCs w:val="32"/>
          <w:highlight w:val="none"/>
        </w:rPr>
        <w:t>研制适用于钛合金加工的数控电火花成形设备1-2台，加工精度≤0.01mm，重复定位精度≤0.003mm，加工效率≥200mm²/min；表面粗糙度≤Ra0.2</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bCs/>
          <w:sz w:val="32"/>
          <w:szCs w:val="32"/>
          <w:highlight w:val="none"/>
        </w:rPr>
        <w:t>（</w:t>
      </w:r>
      <w:r>
        <w:rPr>
          <w:rFonts w:hint="default" w:ascii="Times New Roman" w:hAnsi="Times New Roman" w:eastAsia="仿宋_GB2312" w:cs="Times New Roman"/>
          <w:bCs/>
          <w:sz w:val="32"/>
          <w:szCs w:val="32"/>
          <w:highlight w:val="none"/>
          <w:lang w:val="en-US" w:eastAsia="zh-CN"/>
        </w:rPr>
        <w:t>2</w:t>
      </w:r>
      <w:r>
        <w:rPr>
          <w:rFonts w:hint="default" w:ascii="Times New Roman" w:hAnsi="Times New Roman" w:eastAsia="仿宋_GB2312" w:cs="Times New Roman"/>
          <w:bCs/>
          <w:sz w:val="32"/>
          <w:szCs w:val="32"/>
          <w:highlight w:val="none"/>
        </w:rPr>
        <w:t xml:space="preserve">）开发直线导轨结构优化设计、接触应力分析和服役疲劳寿命预测软件；直线导轨产品摩擦系数≤0.005，寿命≥1500 km，行走精度≤4 </w:t>
      </w:r>
      <w:r>
        <w:rPr>
          <w:rFonts w:hint="default" w:ascii="Times New Roman" w:hAnsi="Times New Roman" w:eastAsia="仿宋_GB2312" w:cs="Times New Roman"/>
          <w:bCs/>
          <w:i/>
          <w:sz w:val="32"/>
          <w:szCs w:val="32"/>
          <w:highlight w:val="none"/>
        </w:rPr>
        <w:t>μ</w:t>
      </w:r>
      <w:r>
        <w:rPr>
          <w:rFonts w:hint="default" w:ascii="Times New Roman" w:hAnsi="Times New Roman" w:eastAsia="仿宋_GB2312" w:cs="Times New Roman"/>
          <w:bCs/>
          <w:sz w:val="32"/>
          <w:szCs w:val="32"/>
          <w:highlight w:val="none"/>
        </w:rPr>
        <w:t>m/4m，噪音≤55 dB；研制导轨高精磨削装备，重复定位精度≤2</w:t>
      </w:r>
      <w:r>
        <w:rPr>
          <w:rFonts w:hint="default" w:ascii="Times New Roman" w:hAnsi="Times New Roman" w:eastAsia="仿宋_GB2312" w:cs="Times New Roman"/>
          <w:bCs/>
          <w:i/>
          <w:sz w:val="32"/>
          <w:szCs w:val="32"/>
          <w:highlight w:val="none"/>
        </w:rPr>
        <w:t>μ</w:t>
      </w:r>
      <w:r>
        <w:rPr>
          <w:rFonts w:hint="default" w:ascii="Times New Roman" w:hAnsi="Times New Roman" w:eastAsia="仿宋_GB2312" w:cs="Times New Roman"/>
          <w:bCs/>
          <w:sz w:val="32"/>
          <w:szCs w:val="32"/>
          <w:highlight w:val="none"/>
        </w:rPr>
        <w:t>m，同时磨削三个平面且加工表面粗糙度≤Ra0.4，加工导轨长度≥4m；研制直线导轨疲劳寿命试验装置和传动精度测试装置，加载力≥50 kN，加载行程≥4000mm</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3）数字化孪生模型预测切削力、切削热、装卡力、加工变形、表面粗糙度和引入残余应力与应用验证零件的实测数据最大相对误差小于20%；加工效率提高20%以上，开发基于数字化孪生技术的切削加工过程仿真软件、硬件平台1套。</w:t>
      </w:r>
      <w:r>
        <w:rPr>
          <w:rFonts w:hint="default" w:ascii="Times New Roman" w:hAnsi="Times New Roman" w:eastAsia="仿宋_GB2312" w:cs="Times New Roman"/>
          <w:color w:val="auto"/>
          <w:kern w:val="0"/>
          <w:sz w:val="32"/>
          <w:szCs w:val="32"/>
          <w:highlight w:val="none"/>
        </w:rPr>
        <w:t>实现示范应用或产业化。</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13．</w:t>
      </w:r>
      <w:r>
        <w:rPr>
          <w:rFonts w:hint="default" w:ascii="Times New Roman" w:hAnsi="Times New Roman" w:eastAsia="仿宋_GB2312" w:cs="Times New Roman"/>
          <w:b/>
          <w:bCs/>
          <w:sz w:val="32"/>
          <w:szCs w:val="32"/>
          <w:highlight w:val="none"/>
          <w:lang w:eastAsia="zh-CN"/>
        </w:rPr>
        <w:t>精密模具</w:t>
      </w:r>
      <w:r>
        <w:rPr>
          <w:rFonts w:hint="default" w:ascii="Times New Roman" w:hAnsi="Times New Roman" w:eastAsia="仿宋_GB2312" w:cs="Times New Roman"/>
          <w:b/>
          <w:bCs/>
          <w:sz w:val="32"/>
          <w:szCs w:val="32"/>
          <w:highlight w:val="none"/>
          <w:lang w:val="en-US" w:eastAsia="zh-CN"/>
        </w:rPr>
        <w:t>/轴承制造</w:t>
      </w:r>
      <w:r>
        <w:rPr>
          <w:rFonts w:hint="default" w:ascii="Times New Roman" w:hAnsi="Times New Roman" w:eastAsia="仿宋_GB2312" w:cs="Times New Roman"/>
          <w:b/>
          <w:bCs/>
          <w:sz w:val="32"/>
          <w:szCs w:val="32"/>
          <w:highlight w:val="none"/>
          <w:lang w:eastAsia="zh-CN"/>
        </w:rPr>
        <w:t>技术研究</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sz w:val="32"/>
          <w:szCs w:val="32"/>
          <w:highlight w:val="none"/>
          <w:lang w:eastAsia="zh-CN"/>
        </w:rPr>
        <w:t>研究内容：</w:t>
      </w:r>
      <w:r>
        <w:rPr>
          <w:rFonts w:hint="default" w:ascii="Times New Roman" w:hAnsi="Times New Roman" w:eastAsia="仿宋_GB2312" w:cs="Times New Roman"/>
          <w:sz w:val="32"/>
          <w:szCs w:val="32"/>
          <w:highlight w:val="none"/>
          <w:lang w:eastAsia="zh-CN"/>
        </w:rPr>
        <w:t>主要开展</w:t>
      </w:r>
      <w:r>
        <w:rPr>
          <w:rFonts w:hint="default" w:ascii="Times New Roman" w:hAnsi="Times New Roman" w:eastAsia="仿宋_GB2312" w:cs="Times New Roman"/>
          <w:color w:val="auto"/>
          <w:sz w:val="32"/>
          <w:szCs w:val="32"/>
          <w:highlight w:val="none"/>
        </w:rPr>
        <w:t>热成形钢局部激光</w:t>
      </w:r>
      <w:r>
        <w:rPr>
          <w:rFonts w:hint="default" w:ascii="Times New Roman" w:hAnsi="Times New Roman" w:eastAsia="仿宋_GB2312" w:cs="Times New Roman"/>
          <w:sz w:val="32"/>
          <w:szCs w:val="32"/>
          <w:highlight w:val="none"/>
        </w:rPr>
        <w:t>软化</w:t>
      </w:r>
      <w:r>
        <w:rPr>
          <w:rFonts w:hint="default" w:ascii="Times New Roman" w:hAnsi="Times New Roman" w:eastAsia="仿宋_GB2312" w:cs="Times New Roman"/>
          <w:sz w:val="32"/>
          <w:szCs w:val="32"/>
          <w:highlight w:val="none"/>
          <w:lang w:eastAsia="zh-CN"/>
        </w:rPr>
        <w:t>装备、</w:t>
      </w:r>
      <w:r>
        <w:rPr>
          <w:rFonts w:hint="default" w:ascii="Times New Roman" w:hAnsi="Times New Roman" w:eastAsia="仿宋_GB2312" w:cs="Times New Roman"/>
          <w:bCs/>
          <w:sz w:val="32"/>
          <w:szCs w:val="32"/>
          <w:highlight w:val="none"/>
        </w:rPr>
        <w:t>纳米压印工艺用大面积高精度金属模具制造、</w:t>
      </w:r>
      <w:r>
        <w:rPr>
          <w:rFonts w:hint="default" w:ascii="Times New Roman" w:hAnsi="Times New Roman" w:eastAsia="仿宋_GB2312" w:cs="Times New Roman"/>
          <w:sz w:val="32"/>
          <w:szCs w:val="32"/>
          <w:highlight w:val="none"/>
        </w:rPr>
        <w:t>汽车轻量化的精密模具制造</w:t>
      </w:r>
      <w:r>
        <w:rPr>
          <w:rFonts w:hint="default" w:ascii="Times New Roman" w:hAnsi="Times New Roman" w:eastAsia="仿宋_GB2312" w:cs="Times New Roman"/>
          <w:sz w:val="32"/>
          <w:szCs w:val="32"/>
          <w:highlight w:val="none"/>
          <w:lang w:eastAsia="zh-CN"/>
        </w:rPr>
        <w:t>等技术研究与开发应用</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cs="Times New Roman"/>
          <w:color w:val="auto"/>
          <w:sz w:val="32"/>
          <w:szCs w:val="32"/>
          <w:highlight w:val="none"/>
          <w:lang w:eastAsia="zh-CN"/>
        </w:rPr>
      </w:pPr>
      <w:r>
        <w:rPr>
          <w:rFonts w:hint="default" w:ascii="Times New Roman" w:hAnsi="Times New Roman" w:eastAsia="仿宋_GB2312" w:cs="Times New Roman"/>
          <w:b/>
          <w:bCs/>
          <w:sz w:val="32"/>
          <w:szCs w:val="32"/>
          <w:highlight w:val="none"/>
        </w:rPr>
        <w:t>考核指标：</w:t>
      </w:r>
      <w:r>
        <w:rPr>
          <w:rFonts w:hint="default" w:ascii="Times New Roman" w:hAnsi="Times New Roman" w:eastAsia="仿宋_GB2312" w:cs="Times New Roman"/>
          <w:kern w:val="0"/>
          <w:sz w:val="32"/>
          <w:szCs w:val="32"/>
          <w:highlight w:val="none"/>
        </w:rPr>
        <w:t>（1）激光软化后超高强钢性能在230-400HV之间；掌握激光软化数值模拟和热冲压回弹补偿技术，开发激光软化定位夹具工装，热成形钢激光软化后的产品精度控制在±0.5mm以内</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bCs/>
          <w:sz w:val="32"/>
          <w:szCs w:val="32"/>
          <w:highlight w:val="none"/>
        </w:rPr>
        <w:t>（</w:t>
      </w:r>
      <w:r>
        <w:rPr>
          <w:rFonts w:hint="default" w:ascii="Times New Roman" w:hAnsi="Times New Roman" w:eastAsia="仿宋_GB2312" w:cs="Times New Roman"/>
          <w:bCs/>
          <w:sz w:val="32"/>
          <w:szCs w:val="32"/>
          <w:highlight w:val="none"/>
          <w:lang w:val="en-US" w:eastAsia="zh-CN"/>
        </w:rPr>
        <w:t>2</w:t>
      </w:r>
      <w:r>
        <w:rPr>
          <w:rFonts w:hint="default" w:ascii="Times New Roman" w:hAnsi="Times New Roman" w:eastAsia="仿宋_GB2312" w:cs="Times New Roman"/>
          <w:bCs/>
          <w:sz w:val="32"/>
          <w:szCs w:val="32"/>
          <w:highlight w:val="none"/>
        </w:rPr>
        <w:t>）研制高精度金属模具电化学增材制造机床1台，兼容4寸、6寸、8寸、12寸及更大尺寸金属模具制造，电极定位精度小于10</w:t>
      </w:r>
      <w:r>
        <w:rPr>
          <w:rFonts w:hint="default" w:ascii="Times New Roman" w:hAnsi="Times New Roman" w:eastAsia="仿宋_GB2312" w:cs="Times New Roman"/>
          <w:bCs/>
          <w:i/>
          <w:sz w:val="32"/>
          <w:szCs w:val="32"/>
          <w:highlight w:val="none"/>
        </w:rPr>
        <w:t>μ</w:t>
      </w:r>
      <w:r>
        <w:rPr>
          <w:rFonts w:hint="default" w:ascii="Times New Roman" w:hAnsi="Times New Roman" w:eastAsia="仿宋_GB2312" w:cs="Times New Roman"/>
          <w:bCs/>
          <w:sz w:val="32"/>
          <w:szCs w:val="32"/>
          <w:highlight w:val="none"/>
        </w:rPr>
        <w:t>m，模具纳米结构一致性大于90%；模具厚度不均匀性允差±3%；模具线宽、高度精度允差±2%；</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冷冲模具制品外观光亮且无压痕和毛边等，成对点焊安装贴合缝隙小于0.8mm；制品面轮廓度≤1.0mm，线轮廓度≤2.0mm；制品基准孔直径±0.01mm,位置度±0.05mm；制品毛刺高度≤0.3mm；制品配合面组装误差±2.5</w:t>
      </w:r>
      <w:r>
        <w:rPr>
          <w:rFonts w:hint="default" w:ascii="Times New Roman" w:hAnsi="Times New Roman" w:cs="Times New Roman"/>
          <w:kern w:val="0"/>
          <w:sz w:val="32"/>
          <w:szCs w:val="32"/>
          <w:highlight w:val="none"/>
        </w:rPr>
        <w:t>°</w:t>
      </w:r>
      <w:r>
        <w:rPr>
          <w:rFonts w:hint="default" w:ascii="Times New Roman" w:hAnsi="Times New Roman" w:eastAsia="仿宋_GB2312" w:cs="Times New Roman"/>
          <w:kern w:val="0"/>
          <w:sz w:val="32"/>
          <w:szCs w:val="32"/>
          <w:highlight w:val="none"/>
        </w:rPr>
        <w:t>，检测治具符合率100%；</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4</w:t>
      </w:r>
      <w:r>
        <w:rPr>
          <w:rFonts w:hint="default" w:ascii="Times New Roman" w:hAnsi="Times New Roman" w:eastAsia="仿宋_GB2312" w:cs="Times New Roman"/>
          <w:kern w:val="0"/>
          <w:sz w:val="32"/>
          <w:szCs w:val="32"/>
          <w:highlight w:val="none"/>
          <w:lang w:eastAsia="zh-CN"/>
        </w:rPr>
        <w:t>）同批次钢管外径公差：＜0.12mm； 同支钢管外径公差：＜0.08mm；壁厚偏差：≤5%S（S为壁厚）；晶粒度：8级或更细；碳化物平均颗粒尺寸：＜1μm。</w:t>
      </w:r>
      <w:r>
        <w:rPr>
          <w:rFonts w:hint="default" w:ascii="Times New Roman" w:hAnsi="Times New Roman" w:eastAsia="仿宋_GB2312" w:cs="Times New Roman"/>
          <w:color w:val="auto"/>
          <w:kern w:val="0"/>
          <w:sz w:val="32"/>
          <w:szCs w:val="32"/>
          <w:highlight w:val="none"/>
        </w:rPr>
        <w:t>实现示范应用或产业化。</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14</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eastAsia="zh-CN"/>
        </w:rPr>
        <w:t>高端特种装备制造</w:t>
      </w:r>
      <w:r>
        <w:rPr>
          <w:rFonts w:hint="default" w:ascii="Times New Roman" w:hAnsi="Times New Roman" w:eastAsia="仿宋_GB2312" w:cs="Times New Roman"/>
          <w:b/>
          <w:bCs/>
          <w:color w:val="auto"/>
          <w:sz w:val="32"/>
          <w:szCs w:val="32"/>
          <w:highlight w:val="none"/>
          <w:lang w:val="en-US" w:eastAsia="zh-CN"/>
        </w:rPr>
        <w:t>技术</w:t>
      </w:r>
      <w:r>
        <w:rPr>
          <w:rFonts w:hint="default" w:ascii="Times New Roman" w:hAnsi="Times New Roman" w:eastAsia="仿宋_GB2312" w:cs="Times New Roman"/>
          <w:b/>
          <w:bCs/>
          <w:color w:val="auto"/>
          <w:sz w:val="32"/>
          <w:szCs w:val="32"/>
          <w:highlight w:val="none"/>
        </w:rPr>
        <w:t>研究</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color w:val="auto"/>
          <w:sz w:val="32"/>
          <w:szCs w:val="32"/>
          <w:highlight w:val="none"/>
        </w:rPr>
        <w:t>重点开展大型卷对卷高速电子束蒸发镀膜机</w:t>
      </w:r>
      <w:r>
        <w:rPr>
          <w:rFonts w:hint="default" w:ascii="Times New Roman" w:hAnsi="Times New Roman" w:eastAsia="仿宋_GB2312" w:cs="Times New Roman"/>
          <w:color w:val="auto"/>
          <w:sz w:val="32"/>
          <w:szCs w:val="32"/>
          <w:highlight w:val="none"/>
          <w:lang w:eastAsia="zh-CN"/>
        </w:rPr>
        <w:t>、低能耗可调节永磁感应加热装置</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公路/铁路隧道施工凿岩智能化装备</w:t>
      </w:r>
      <w:r>
        <w:rPr>
          <w:rFonts w:hint="default" w:ascii="Times New Roman" w:hAnsi="Times New Roman" w:eastAsia="仿宋_GB2312" w:cs="Times New Roman"/>
          <w:color w:val="auto"/>
          <w:sz w:val="32"/>
          <w:szCs w:val="32"/>
          <w:highlight w:val="none"/>
        </w:rPr>
        <w:t>等</w:t>
      </w:r>
      <w:r>
        <w:rPr>
          <w:rFonts w:hint="default" w:ascii="Times New Roman" w:hAnsi="Times New Roman" w:eastAsia="仿宋_GB2312" w:cs="Times New Roman"/>
          <w:color w:val="auto"/>
          <w:sz w:val="32"/>
          <w:szCs w:val="32"/>
          <w:highlight w:val="none"/>
          <w:lang w:eastAsia="zh-CN"/>
        </w:rPr>
        <w:t>技术</w:t>
      </w:r>
      <w:r>
        <w:rPr>
          <w:rFonts w:hint="default" w:ascii="Times New Roman" w:hAnsi="Times New Roman" w:eastAsia="仿宋_GB2312" w:cs="Times New Roman"/>
          <w:color w:val="auto"/>
          <w:sz w:val="32"/>
          <w:szCs w:val="32"/>
          <w:highlight w:val="none"/>
        </w:rPr>
        <w:t>研究与开发</w:t>
      </w:r>
      <w:r>
        <w:rPr>
          <w:rFonts w:hint="default" w:ascii="Times New Roman" w:hAnsi="Times New Roman" w:eastAsia="仿宋_GB2312" w:cs="Times New Roman"/>
          <w:color w:val="auto"/>
          <w:kern w:val="0"/>
          <w:sz w:val="32"/>
          <w:szCs w:val="32"/>
          <w:highlight w:val="none"/>
        </w:rPr>
        <w:t>应用。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rPr>
        <w:t>考核指标：（1）卷对卷高速电子束蒸发镀膜设备满足工业化生产阻隔薄膜的需要，生产速度500m/min，镀膜宽度1300mm，薄膜(PET/SIOX)的水蒸气透过率（WVTR）＜2.5g/cm</w:t>
      </w:r>
      <w:r>
        <w:rPr>
          <w:rFonts w:hint="default" w:ascii="Times New Roman" w:hAnsi="Times New Roman" w:eastAsia="仿宋_GB2312" w:cs="Times New Roman"/>
          <w:color w:val="auto"/>
          <w:kern w:val="0"/>
          <w:sz w:val="32"/>
          <w:szCs w:val="32"/>
          <w:highlight w:val="none"/>
          <w:vertAlign w:val="superscript"/>
        </w:rPr>
        <w:t>2</w:t>
      </w:r>
      <w:r>
        <w:rPr>
          <w:rFonts w:hint="default" w:ascii="Times New Roman" w:hAnsi="Times New Roman" w:eastAsia="仿宋_GB2312" w:cs="Times New Roman"/>
          <w:color w:val="auto"/>
          <w:kern w:val="0"/>
          <w:sz w:val="32"/>
          <w:szCs w:val="32"/>
          <w:highlight w:val="none"/>
        </w:rPr>
        <w:t>/天，薄膜均匀性误差±5%；</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lang w:eastAsia="zh-CN"/>
        </w:rPr>
        <w:t>）研制面向Ф200</w:t>
      </w:r>
      <w:r>
        <w:rPr>
          <w:rFonts w:hint="default" w:ascii="Times New Roman" w:hAnsi="Times New Roman" w:eastAsia="仿宋_GB2312" w:cs="Times New Roman"/>
          <w:color w:val="auto"/>
          <w:kern w:val="0"/>
          <w:sz w:val="32"/>
          <w:szCs w:val="32"/>
          <w:highlight w:val="none"/>
          <w:lang w:val="en-US" w:eastAsia="zh-CN"/>
        </w:rPr>
        <w:t>-300</w:t>
      </w:r>
      <w:r>
        <w:rPr>
          <w:rFonts w:hint="default" w:ascii="Times New Roman" w:hAnsi="Times New Roman" w:eastAsia="仿宋_GB2312" w:cs="Times New Roman"/>
          <w:color w:val="auto"/>
          <w:kern w:val="0"/>
          <w:sz w:val="32"/>
          <w:szCs w:val="32"/>
          <w:highlight w:val="none"/>
          <w:lang w:eastAsia="zh-CN"/>
        </w:rPr>
        <w:t>mm口径工件的低能耗可调节永磁感应加热装置，额定功率：≥350kW、升温时间：≤8min 、温度均匀性：优于轴向±5℃，径向±5℃、相对效率：≥75%；（</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eastAsia="zh-CN"/>
        </w:rPr>
        <w:t>）在公路/铁路隧道施工钻孔、爆破、排险等作业中的自动化定位完成时间≤3min、掏心孔凿岩精度≤20mm、故障率≤0.5%、隧道轮廓面激光扫描全自动、深孔定向角度偏差≤3%。</w:t>
      </w:r>
      <w:r>
        <w:rPr>
          <w:rFonts w:hint="default" w:ascii="Times New Roman" w:hAnsi="Times New Roman" w:eastAsia="仿宋_GB2312" w:cs="Times New Roman"/>
          <w:color w:val="auto"/>
          <w:kern w:val="0"/>
          <w:sz w:val="32"/>
          <w:szCs w:val="32"/>
          <w:highlight w:val="none"/>
        </w:rPr>
        <w:t>实现示范应用或产业化。</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lang w:val="en-US" w:eastAsia="zh-CN"/>
        </w:rPr>
        <w:t>15</w:t>
      </w:r>
      <w:r>
        <w:rPr>
          <w:rFonts w:hint="default" w:ascii="Times New Roman" w:hAnsi="Times New Roman" w:eastAsia="仿宋_GB2312" w:cs="Times New Roman"/>
          <w:b/>
          <w:bCs/>
          <w:sz w:val="32"/>
          <w:szCs w:val="32"/>
          <w:highlight w:val="none"/>
        </w:rPr>
        <w:t>．</w:t>
      </w:r>
      <w:r>
        <w:rPr>
          <w:rFonts w:hint="default" w:ascii="Times New Roman" w:hAnsi="Times New Roman" w:eastAsia="仿宋_GB2312" w:cs="Times New Roman"/>
          <w:b/>
          <w:bCs/>
          <w:sz w:val="32"/>
          <w:szCs w:val="32"/>
          <w:highlight w:val="none"/>
          <w:lang w:eastAsia="zh-CN"/>
        </w:rPr>
        <w:t>智能</w:t>
      </w:r>
      <w:r>
        <w:rPr>
          <w:rFonts w:hint="default" w:ascii="Times New Roman" w:hAnsi="Times New Roman" w:eastAsia="仿宋_GB2312" w:cs="Times New Roman"/>
          <w:b/>
          <w:bCs/>
          <w:sz w:val="32"/>
          <w:szCs w:val="32"/>
          <w:highlight w:val="none"/>
        </w:rPr>
        <w:t>机器人</w:t>
      </w:r>
      <w:r>
        <w:rPr>
          <w:rFonts w:hint="default" w:ascii="Times New Roman" w:hAnsi="Times New Roman" w:eastAsia="仿宋_GB2312" w:cs="Times New Roman"/>
          <w:b/>
          <w:bCs/>
          <w:sz w:val="32"/>
          <w:szCs w:val="32"/>
          <w:highlight w:val="none"/>
          <w:lang w:eastAsia="zh-CN"/>
        </w:rPr>
        <w:t>设计与制造技术</w:t>
      </w:r>
      <w:r>
        <w:rPr>
          <w:rFonts w:hint="default" w:ascii="Times New Roman" w:hAnsi="Times New Roman" w:eastAsia="仿宋_GB2312" w:cs="Times New Roman"/>
          <w:b/>
          <w:bCs/>
          <w:sz w:val="32"/>
          <w:szCs w:val="32"/>
          <w:highlight w:val="none"/>
        </w:rPr>
        <w:t>研究（青年科学家项目）</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sz w:val="32"/>
          <w:szCs w:val="32"/>
          <w:highlight w:val="none"/>
        </w:rPr>
        <w:t>研究内容：</w:t>
      </w:r>
      <w:r>
        <w:rPr>
          <w:rFonts w:hint="default" w:ascii="Times New Roman" w:hAnsi="Times New Roman" w:eastAsia="仿宋_GB2312" w:cs="Times New Roman"/>
          <w:bCs/>
          <w:sz w:val="32"/>
          <w:szCs w:val="32"/>
          <w:highlight w:val="none"/>
        </w:rPr>
        <w:t>主要开展智能水下机器人-机械手系统自主作业技术、工业机器人高扭矩密度集成模组</w:t>
      </w:r>
      <w:r>
        <w:rPr>
          <w:rFonts w:hint="default" w:ascii="Times New Roman" w:hAnsi="Times New Roman" w:eastAsia="仿宋_GB2312" w:cs="Times New Roman"/>
          <w:bCs/>
          <w:sz w:val="32"/>
          <w:szCs w:val="32"/>
          <w:highlight w:val="none"/>
          <w:lang w:eastAsia="zh-CN"/>
        </w:rPr>
        <w:t>、智能高效联合收割机、高铁运维智能焊接机器人装备、</w:t>
      </w:r>
      <w:r>
        <w:rPr>
          <w:rFonts w:hint="default" w:ascii="Times New Roman" w:hAnsi="Times New Roman" w:eastAsia="仿宋_GB2312" w:cs="Times New Roman"/>
          <w:kern w:val="0"/>
          <w:sz w:val="32"/>
          <w:szCs w:val="32"/>
          <w:lang w:bidi="ar"/>
        </w:rPr>
        <w:t>竹材高效加工利用智能装备</w:t>
      </w:r>
      <w:r>
        <w:rPr>
          <w:rFonts w:hint="default" w:ascii="Times New Roman" w:hAnsi="Times New Roman" w:eastAsia="仿宋_GB2312" w:cs="Times New Roman"/>
          <w:bCs/>
          <w:sz w:val="32"/>
          <w:szCs w:val="32"/>
          <w:highlight w:val="none"/>
          <w:lang w:eastAsia="zh-CN"/>
        </w:rPr>
        <w:t>等技术</w:t>
      </w:r>
      <w:r>
        <w:rPr>
          <w:rFonts w:hint="default" w:ascii="Times New Roman" w:hAnsi="Times New Roman" w:eastAsia="仿宋_GB2312" w:cs="Times New Roman"/>
          <w:color w:val="auto"/>
          <w:sz w:val="32"/>
          <w:szCs w:val="32"/>
          <w:highlight w:val="none"/>
        </w:rPr>
        <w:t>研究与开发</w:t>
      </w:r>
      <w:r>
        <w:rPr>
          <w:rFonts w:hint="default" w:ascii="Times New Roman" w:hAnsi="Times New Roman" w:eastAsia="仿宋_GB2312" w:cs="Times New Roman"/>
          <w:color w:val="auto"/>
          <w:kern w:val="0"/>
          <w:sz w:val="32"/>
          <w:szCs w:val="32"/>
          <w:highlight w:val="none"/>
        </w:rPr>
        <w:t>应用。</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cs="Times New Roman"/>
          <w:sz w:val="32"/>
          <w:szCs w:val="32"/>
          <w:highlight w:val="none"/>
        </w:rPr>
      </w:pPr>
      <w:r>
        <w:rPr>
          <w:rFonts w:hint="default" w:ascii="Times New Roman" w:hAnsi="Times New Roman" w:eastAsia="仿宋_GB2312" w:cs="Times New Roman"/>
          <w:b/>
          <w:bCs/>
          <w:sz w:val="32"/>
          <w:szCs w:val="32"/>
          <w:highlight w:val="none"/>
        </w:rPr>
        <w:t>考核指标：</w:t>
      </w:r>
      <w:r>
        <w:rPr>
          <w:rFonts w:hint="default" w:ascii="Times New Roman" w:hAnsi="Times New Roman" w:eastAsia="仿宋_GB2312" w:cs="Times New Roman"/>
          <w:kern w:val="0"/>
          <w:sz w:val="32"/>
          <w:szCs w:val="32"/>
          <w:highlight w:val="none"/>
        </w:rPr>
        <w:t>（1）智能水下机器人可自主识别与检测水下典型目标并连续视频跟踪，检测准确率</w:t>
      </w:r>
      <w:r>
        <w:rPr>
          <w:rFonts w:hint="default" w:ascii="Times New Roman" w:hAnsi="Times New Roman" w:eastAsia="仿宋_GB2312" w:cs="Times New Roman"/>
          <w:bCs/>
          <w:sz w:val="32"/>
          <w:szCs w:val="32"/>
          <w:highlight w:val="none"/>
        </w:rPr>
        <w:t>≥</w:t>
      </w:r>
      <w:r>
        <w:rPr>
          <w:rFonts w:hint="default" w:ascii="Times New Roman" w:hAnsi="Times New Roman" w:eastAsia="仿宋_GB2312" w:cs="Times New Roman"/>
          <w:kern w:val="0"/>
          <w:sz w:val="32"/>
          <w:szCs w:val="32"/>
          <w:highlight w:val="none"/>
        </w:rPr>
        <w:t>90%；能自主规划路径、力矩优化和避障；湖试艏向控制精度＜0.2°，深度控制精度＜0.1m，各关节控制精度＜0.01°；湖试下自主抓取目标时间＜1分钟；（2）</w:t>
      </w:r>
      <w:r>
        <w:rPr>
          <w:rFonts w:hint="default" w:ascii="Times New Roman" w:hAnsi="Times New Roman" w:eastAsia="仿宋_GB2312" w:cs="Times New Roman"/>
          <w:bCs/>
          <w:sz w:val="32"/>
          <w:szCs w:val="32"/>
          <w:highlight w:val="none"/>
        </w:rPr>
        <w:t>完成一体化关节模组电机电磁优化和驱动控制软硬件设计，产品具有高可靠性、高防护等级和低噪音等特性，互换性好，集成度高；位置控制精度±0.001°，转矩密度≥60Nm/kg，输出</w:t>
      </w:r>
      <w:r>
        <w:rPr>
          <w:rFonts w:hint="default" w:ascii="Times New Roman" w:hAnsi="Times New Roman" w:eastAsia="仿宋_GB2312" w:cs="Times New Roman"/>
          <w:kern w:val="0"/>
          <w:sz w:val="32"/>
          <w:szCs w:val="32"/>
          <w:highlight w:val="none"/>
        </w:rPr>
        <w:t>效率≥90%；</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lang w:eastAsia="zh-CN"/>
        </w:rPr>
        <w:t>）智能收割机总损失率≤</w:t>
      </w:r>
      <w:r>
        <w:rPr>
          <w:rFonts w:hint="default" w:ascii="Times New Roman" w:hAnsi="Times New Roman" w:eastAsia="仿宋_GB2312" w:cs="Times New Roman"/>
          <w:kern w:val="0"/>
          <w:sz w:val="32"/>
          <w:szCs w:val="32"/>
          <w:highlight w:val="none"/>
          <w:lang w:val="en-US" w:eastAsia="zh-CN"/>
        </w:rPr>
        <w:t>1.0</w:t>
      </w:r>
      <w:r>
        <w:rPr>
          <w:rFonts w:hint="default" w:ascii="Times New Roman" w:hAnsi="Times New Roman" w:eastAsia="仿宋_GB2312" w:cs="Times New Roman"/>
          <w:kern w:val="0"/>
          <w:sz w:val="32"/>
          <w:szCs w:val="32"/>
          <w:highlight w:val="none"/>
          <w:lang w:eastAsia="zh-CN"/>
        </w:rPr>
        <w:t>%，平均无故障工作时间：≥50h，有效度 ：≥93%，接地压力：≤24kPa，最小离地间隙：≥340mm；动态环境噪声：≤87dB(A)；驾驶员耳位噪声：≤85dB(A)；（</w:t>
      </w:r>
      <w:r>
        <w:rPr>
          <w:rFonts w:hint="default" w:ascii="Times New Roman" w:hAnsi="Times New Roman" w:eastAsia="仿宋_GB2312" w:cs="Times New Roman"/>
          <w:kern w:val="0"/>
          <w:sz w:val="32"/>
          <w:szCs w:val="32"/>
          <w:highlight w:val="none"/>
          <w:lang w:val="en-US" w:eastAsia="zh-CN"/>
        </w:rPr>
        <w:t>4</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整套焊接机器人自动化焊接、识别等功能模块，性能指标满足全自动化H型钢焊接线需要；核心功能焊接机械手横梁所受应力≥ 4.5569Mpa，</w:t>
      </w:r>
      <w:r>
        <w:rPr>
          <w:rFonts w:hint="default" w:ascii="Times New Roman" w:hAnsi="Times New Roman" w:eastAsia="仿宋_GB2312" w:cs="Times New Roman"/>
          <w:kern w:val="0"/>
          <w:sz w:val="32"/>
          <w:szCs w:val="32"/>
          <w:highlight w:val="none"/>
          <w:lang w:val="en-US" w:eastAsia="zh-CN"/>
        </w:rPr>
        <w:t>横梁挠度变形量≤0.013706mm，有效负载≥5kg，自由度6；传输线要求速度≥800mm/s，定位精度±0.5mm；</w:t>
      </w:r>
      <w:r>
        <w:rPr>
          <w:rFonts w:hint="default" w:ascii="Times New Roman" w:hAnsi="Times New Roman" w:eastAsia="仿宋_GB2312" w:cs="Times New Roman"/>
          <w:kern w:val="0"/>
          <w:sz w:val="32"/>
          <w:szCs w:val="32"/>
          <w:highlight w:val="none"/>
        </w:rPr>
        <w:t>控制部分信号扩展模块8个，移动界面中具备坐标系、3D 仿真、移动关节、移动末端、牵引、速度等功能</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5</w:t>
      </w:r>
      <w:r>
        <w:rPr>
          <w:rFonts w:hint="default" w:ascii="Times New Roman" w:hAnsi="Times New Roman" w:eastAsia="仿宋_GB2312" w:cs="Times New Roman"/>
          <w:kern w:val="0"/>
          <w:sz w:val="32"/>
          <w:szCs w:val="32"/>
          <w:highlight w:val="none"/>
          <w:lang w:eastAsia="zh-CN"/>
        </w:rPr>
        <w:t>）建成年产4000万根的智能高效智能化加工生产</w:t>
      </w:r>
      <w:r>
        <w:rPr>
          <w:rFonts w:hint="default" w:ascii="Times New Roman" w:hAnsi="Times New Roman" w:eastAsia="仿宋_GB2312" w:cs="Times New Roman"/>
          <w:bCs/>
          <w:color w:val="auto"/>
          <w:sz w:val="32"/>
          <w:szCs w:val="32"/>
          <w:highlight w:val="none"/>
          <w:lang w:eastAsia="zh-CN"/>
        </w:rPr>
        <w:t>线1条，开发出以竹条为单元的竹板材基材；竹板材宽度≥1.0m，长度≥1.5m；含水率在6-12%、静曲强度≥ 75 MPa。</w:t>
      </w:r>
      <w:r>
        <w:rPr>
          <w:rFonts w:hint="default" w:ascii="Times New Roman" w:hAnsi="Times New Roman" w:eastAsia="仿宋_GB2312" w:cs="Times New Roman"/>
          <w:color w:val="auto"/>
          <w:kern w:val="0"/>
          <w:sz w:val="32"/>
          <w:szCs w:val="32"/>
          <w:highlight w:val="none"/>
        </w:rPr>
        <w:t>实现示范应用或产业化。</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三、新材料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cs="Times New Roman"/>
          <w:b/>
          <w:bCs/>
          <w:color w:val="auto"/>
          <w:sz w:val="32"/>
          <w:szCs w:val="32"/>
          <w:highlight w:val="none"/>
          <w:lang w:val="en-US" w:eastAsia="zh-CN"/>
        </w:rPr>
        <w:t>16</w:t>
      </w:r>
      <w:r>
        <w:rPr>
          <w:rFonts w:hint="default"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eastAsia="zh-CN"/>
        </w:rPr>
        <w:t>高性能特种钢铁新材料技术研究</w:t>
      </w:r>
      <w:r>
        <w:rPr>
          <w:rFonts w:hint="default" w:ascii="Times New Roman" w:hAnsi="Times New Roman" w:eastAsia="仿宋_GB2312" w:cs="Times New Roman"/>
          <w:b/>
          <w:bCs/>
          <w:color w:val="auto"/>
          <w:sz w:val="32"/>
          <w:szCs w:val="32"/>
          <w:highlight w:val="none"/>
        </w:rPr>
        <w:t>（青年科学家项目）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主要开展新能源光伏支架用高强韧超级耐候钢、高端挖掘机械用硬韧耐磨损斗齿钢、</w:t>
      </w:r>
      <w:r>
        <w:rPr>
          <w:rFonts w:hint="default" w:ascii="Times New Roman" w:hAnsi="Times New Roman" w:eastAsia="仿宋_GB2312" w:cs="Times New Roman"/>
          <w:sz w:val="32"/>
          <w:szCs w:val="32"/>
          <w:lang w:eastAsia="zh-CN"/>
        </w:rPr>
        <w:t>新能源汽车轴承用高性能轴承钢管制造</w:t>
      </w:r>
      <w:r>
        <w:rPr>
          <w:rFonts w:hint="default" w:ascii="Times New Roman" w:hAnsi="Times New Roman" w:eastAsia="仿宋_GB2312" w:cs="Times New Roman"/>
          <w:color w:val="auto"/>
          <w:sz w:val="32"/>
          <w:szCs w:val="32"/>
          <w:highlight w:val="none"/>
          <w:lang w:eastAsia="zh-CN"/>
        </w:rPr>
        <w:t>等技术研究与开发应用。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实现700MPa级经济型光伏支架用超级耐候钢高效化制备，完成800MPa级经济型光伏支架用超级耐候钢的技术储备；72小时相对Q355B的腐蚀率≤35%，满足光伏支架用材25年使用周期内双面均匀腐蚀减薄量不超过0.2mm的要求；（2）开发适用于复杂冲击应力的硬韧耐磨铸造斗齿关键指标：抗拉强度≥1600 MPa，硬度≥54 HRC，室温冲击吸收功Akv≥18 J，贵金属元素含量均控制在0.4 wt.%以内；开发面向低温作业环境的硬韧耐磨铸造斗齿关键指标：硬度≥50 HRC，- 40℃冲击吸收功Akv≥28 J；</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val="en-US" w:eastAsia="zh-CN" w:bidi="ar"/>
        </w:rPr>
        <w:t>3</w:t>
      </w:r>
      <w:r>
        <w:rPr>
          <w:rFonts w:hint="default" w:ascii="Times New Roman" w:hAnsi="Times New Roman" w:eastAsia="仿宋_GB2312" w:cs="Times New Roman"/>
          <w:kern w:val="0"/>
          <w:sz w:val="32"/>
          <w:szCs w:val="32"/>
          <w:lang w:eastAsia="zh-CN" w:bidi="ar"/>
        </w:rPr>
        <w:t>）同批次钢管外径公差：＜0.12mm； 同支钢管外径公差：＜0.08mm；壁厚偏差：≤5%S（S为壁厚）</w:t>
      </w:r>
      <w:r>
        <w:rPr>
          <w:rFonts w:hint="default"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eastAsia="zh-CN" w:bidi="ar"/>
        </w:rPr>
        <w:t>晶粒度：8级或更细；碳化物平均颗粒尺寸：＜1μm；成品钢管径向残余应力均匀性：±20%；成品钢管接触疲劳寿命：L10＞1×10</w:t>
      </w:r>
      <w:r>
        <w:rPr>
          <w:rFonts w:hint="default" w:ascii="Times New Roman" w:hAnsi="Times New Roman" w:eastAsia="仿宋_GB2312" w:cs="Times New Roman"/>
          <w:kern w:val="0"/>
          <w:sz w:val="32"/>
          <w:szCs w:val="32"/>
          <w:vertAlign w:val="superscript"/>
          <w:lang w:eastAsia="zh-CN" w:bidi="ar"/>
        </w:rPr>
        <w:t>7</w:t>
      </w:r>
      <w:r>
        <w:rPr>
          <w:rFonts w:hint="default" w:ascii="Times New Roman" w:hAnsi="Times New Roman" w:eastAsia="仿宋_GB2312" w:cs="Times New Roman"/>
          <w:color w:val="auto"/>
          <w:kern w:val="0"/>
          <w:sz w:val="32"/>
          <w:szCs w:val="32"/>
          <w:highlight w:val="none"/>
          <w:lang w:val="en-US" w:eastAsia="zh-CN" w:bidi="ar"/>
        </w:rPr>
        <w:t>。实现典型材料构件示范应用或产业化。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17．稀土功能材料技术及应用研究</w:t>
      </w:r>
      <w:r>
        <w:rPr>
          <w:rFonts w:hint="default" w:ascii="Times New Roman" w:hAnsi="Times New Roman" w:eastAsia="仿宋_GB2312" w:cs="Times New Roman"/>
          <w:b/>
          <w:bCs/>
          <w:color w:val="auto"/>
          <w:sz w:val="32"/>
          <w:szCs w:val="32"/>
          <w:highlight w:val="none"/>
        </w:rPr>
        <w:t>（青年科学家项目）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主要开展LED白光用高品质荧光材料、高通量层状结构氧化物电容材料、</w:t>
      </w:r>
      <w:r>
        <w:rPr>
          <w:rFonts w:hint="default" w:ascii="Times New Roman" w:hAnsi="Times New Roman" w:eastAsia="仿宋_GB2312" w:cs="Times New Roman"/>
          <w:sz w:val="32"/>
          <w:szCs w:val="32"/>
        </w:rPr>
        <w:t>高效节能稀土永磁直驱电机</w:t>
      </w:r>
      <w:r>
        <w:rPr>
          <w:rFonts w:hint="default" w:ascii="Times New Roman" w:hAnsi="Times New Roman" w:eastAsia="仿宋_GB2312" w:cs="Times New Roman"/>
          <w:sz w:val="32"/>
          <w:szCs w:val="32"/>
          <w:lang w:eastAsia="zh-CN"/>
        </w:rPr>
        <w:t>、高性能钆基硼硅酸盐玻璃的制备及其闪烁性能、中低放有机液固化及减容</w:t>
      </w:r>
      <w:r>
        <w:rPr>
          <w:rFonts w:hint="default" w:ascii="Times New Roman" w:hAnsi="Times New Roman" w:eastAsia="仿宋_GB2312" w:cs="Times New Roman"/>
          <w:color w:val="auto"/>
          <w:sz w:val="32"/>
          <w:szCs w:val="32"/>
          <w:highlight w:val="none"/>
          <w:lang w:eastAsia="zh-CN"/>
        </w:rPr>
        <w:t>等技术研究与开发应用。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（1）开发高饱和阈值、高效率黄色YAG:Ce、绿色LuAG:Ce荧光陶瓷，饱和阈值&gt;50 W/mm</w:t>
      </w:r>
      <w:r>
        <w:rPr>
          <w:rFonts w:hint="default" w:ascii="Times New Roman" w:hAnsi="Times New Roman" w:eastAsia="仿宋_GB2312" w:cs="Times New Roman"/>
          <w:color w:val="auto"/>
          <w:kern w:val="0"/>
          <w:sz w:val="32"/>
          <w:szCs w:val="32"/>
          <w:highlight w:val="none"/>
          <w:vertAlign w:val="superscript"/>
          <w:lang w:val="en-US" w:eastAsia="zh-CN" w:bidi="ar"/>
        </w:rPr>
        <w:t>2</w:t>
      </w:r>
      <w:r>
        <w:rPr>
          <w:rFonts w:hint="default" w:ascii="Times New Roman" w:hAnsi="Times New Roman" w:eastAsia="仿宋_GB2312" w:cs="Times New Roman"/>
          <w:color w:val="auto"/>
          <w:kern w:val="0"/>
          <w:sz w:val="32"/>
          <w:szCs w:val="32"/>
          <w:highlight w:val="none"/>
          <w:lang w:val="en-US" w:eastAsia="zh-CN" w:bidi="ar"/>
        </w:rPr>
        <w:t>，流明效率&gt;280 lm/W；耐激光辐照&gt;20W；激发光谱位于420-500nm，发射光谱位于500-700nm；激光照明光源样机2台套；激光白光器件辐照通量&gt;10000lm；（2）超细纳米稀土氧化物尺寸10~100nm精准可调；高分散状态，比表面积&gt;30m2/g，尺寸差别小于20%；基于纳米稀土氧化物改性的电介质陶瓷粉体介电常数&gt;3000，在-55℃到125℃温度范围内电容容量变化小于15%；（3）永磁电机额定转速输出转矩≥22200Nm，额定功率≥280kW，重量≤7100kg，振动≤3mm/s，驱动控制系统开关频率在2～20kHz区间可调，全功率段效率≥80%，可承受工作环境温度-20℃~60℃；（4）Ce</w:t>
      </w:r>
      <w:r>
        <w:rPr>
          <w:rFonts w:hint="default" w:ascii="Times New Roman" w:hAnsi="Times New Roman" w:eastAsia="仿宋_GB2312" w:cs="Times New Roman"/>
          <w:color w:val="auto"/>
          <w:kern w:val="0"/>
          <w:sz w:val="32"/>
          <w:szCs w:val="32"/>
          <w:highlight w:val="none"/>
          <w:vertAlign w:val="superscript"/>
          <w:lang w:val="en-US" w:eastAsia="zh-CN" w:bidi="ar"/>
        </w:rPr>
        <w:t>3+</w:t>
      </w:r>
      <w:r>
        <w:rPr>
          <w:rFonts w:hint="default" w:ascii="Times New Roman" w:hAnsi="Times New Roman" w:eastAsia="仿宋_GB2312" w:cs="Times New Roman"/>
          <w:color w:val="auto"/>
          <w:kern w:val="0"/>
          <w:sz w:val="32"/>
          <w:szCs w:val="32"/>
          <w:highlight w:val="none"/>
          <w:lang w:val="en-US" w:eastAsia="zh-CN" w:bidi="ar"/>
        </w:rPr>
        <w:t>掺杂钆基硼硅酸盐闪烁玻璃高密度（&gt;6.2 g/cm</w:t>
      </w:r>
      <w:r>
        <w:rPr>
          <w:rFonts w:hint="default" w:ascii="Times New Roman" w:hAnsi="Times New Roman" w:eastAsia="仿宋_GB2312" w:cs="Times New Roman"/>
          <w:color w:val="auto"/>
          <w:kern w:val="0"/>
          <w:sz w:val="32"/>
          <w:szCs w:val="32"/>
          <w:highlight w:val="none"/>
          <w:vertAlign w:val="superscript"/>
          <w:lang w:val="en-US" w:eastAsia="zh-CN" w:bidi="ar"/>
        </w:rPr>
        <w:t>3</w:t>
      </w:r>
      <w:r>
        <w:rPr>
          <w:rFonts w:hint="default" w:ascii="Times New Roman" w:hAnsi="Times New Roman" w:eastAsia="仿宋_GB2312" w:cs="Times New Roman"/>
          <w:color w:val="auto"/>
          <w:kern w:val="0"/>
          <w:sz w:val="32"/>
          <w:szCs w:val="32"/>
          <w:highlight w:val="none"/>
          <w:lang w:val="en-US" w:eastAsia="zh-CN" w:bidi="ar"/>
        </w:rPr>
        <w:t>），511KeVγ-射线辐照下光产额（~2000 Ph/MeV），光致衰减（&lt;35 ns）和闪烁衰减（&lt;200 ns），TOF 时间&lt;200 ps，闪烁玻璃最小尺寸为 20×20×80 mm</w:t>
      </w:r>
      <w:r>
        <w:rPr>
          <w:rFonts w:hint="default" w:ascii="Times New Roman" w:hAnsi="Times New Roman" w:eastAsia="仿宋_GB2312" w:cs="Times New Roman"/>
          <w:color w:val="auto"/>
          <w:kern w:val="0"/>
          <w:sz w:val="32"/>
          <w:szCs w:val="32"/>
          <w:highlight w:val="none"/>
          <w:vertAlign w:val="superscript"/>
          <w:lang w:val="en-US" w:eastAsia="zh-CN" w:bidi="ar"/>
        </w:rPr>
        <w:t>3</w:t>
      </w:r>
      <w:r>
        <w:rPr>
          <w:rFonts w:hint="default" w:ascii="Times New Roman" w:hAnsi="Times New Roman" w:eastAsia="仿宋_GB2312" w:cs="Times New Roman"/>
          <w:color w:val="auto"/>
          <w:kern w:val="0"/>
          <w:sz w:val="32"/>
          <w:szCs w:val="32"/>
          <w:highlight w:val="none"/>
          <w:lang w:val="en-US" w:eastAsia="zh-CN" w:bidi="ar"/>
        </w:rPr>
        <w:t>；（5）突破放射性有机废液固化材料关键制备技术，完成200kg级中试生产，固化时间≤5min，抗压性能满足EPAtest METHOD 9096标准，减容率≥98%；设计加工自动/半自动固化装置，完成10公斤级以上有机废液固化试验和10公斤以上固化体焚烧减容试验。实现示范应用或产业化。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18</w:t>
      </w:r>
      <w:r>
        <w:rPr>
          <w:rFonts w:hint="default" w:ascii="Times New Roman" w:hAnsi="Times New Roman" w:eastAsia="仿宋_GB2312" w:cs="Times New Roman"/>
          <w:b/>
          <w:bCs/>
          <w:color w:val="auto"/>
          <w:sz w:val="32"/>
          <w:szCs w:val="32"/>
          <w:highlight w:val="none"/>
          <w:lang w:val="en-US" w:eastAsia="zh-CN"/>
        </w:rPr>
        <w:t>．特种及先进陶瓷材料制备技术研究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主要开展高活性电子陶瓷烧结助剂、高强高导氮化铝陶瓷基板制备、陶瓷基复合材料结构性能一体化设计等技术研究与开发应用。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小标宋_GBK" w:cs="Times New Roman"/>
          <w:color w:val="0000FF"/>
          <w:sz w:val="32"/>
          <w:szCs w:val="32"/>
          <w:highlight w:val="none"/>
          <w:lang w:val="en-US" w:eastAsia="zh-CN"/>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 xml:space="preserve">（1）制备出3种（Y2O3、Yb2O3和Lu2O3）重稀土氧化物粉体，D50在0.2μm~1.0μm可控，最大粒径不超过1.2μm，粒度分布（D90~D10）/2D50&lt;1.2；重稀土氧化物粉体微观形貌≥3种；重稀土氧化物产品纯度≥99.995%；RE-AlN电子陶瓷基板相对致密度&gt;99%（@重稀土离子含量在3wt.%~20wt.%、导热率&gt;170W/（m·K）；（2）氮化铝陶瓷基板体积密度≥3.5g/cm3；抗弯强度≥450MPa；热导率≥190W/(m.k)；击穿强度≥17.5kV/mm；在25℃下，体积电阻率≥1×1014Ω.cm；（3）搭建陶瓷基复合材料/构件高温（试验温度≥1500℃）试验测试平台1个，开发三维重构强度性能试验与预测误差≤10%。实现示范应用或产业化。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19</w:t>
      </w:r>
      <w:r>
        <w:rPr>
          <w:rFonts w:hint="default"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rPr>
        <w:t>高性能铜箔</w:t>
      </w:r>
      <w:r>
        <w:rPr>
          <w:rFonts w:hint="default" w:ascii="Times New Roman" w:hAnsi="Times New Roman" w:eastAsia="仿宋_GB2312" w:cs="Times New Roman"/>
          <w:b/>
          <w:bCs/>
          <w:color w:val="auto"/>
          <w:sz w:val="32"/>
          <w:szCs w:val="32"/>
          <w:highlight w:val="none"/>
          <w:lang w:eastAsia="zh-CN"/>
        </w:rPr>
        <w:t>材料技术</w:t>
      </w:r>
      <w:r>
        <w:rPr>
          <w:rFonts w:hint="default" w:ascii="Times New Roman" w:hAnsi="Times New Roman" w:eastAsia="仿宋_GB2312" w:cs="Times New Roman"/>
          <w:b/>
          <w:bCs/>
          <w:color w:val="auto"/>
          <w:sz w:val="32"/>
          <w:szCs w:val="32"/>
          <w:highlight w:val="none"/>
        </w:rPr>
        <w:t>研究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主要开展芯片封装用极薄载体铜箔、高抗高延高光泽度极薄电解铜箔、高延伸锂电铜箔等技术研究与开发应用。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（1）极薄载体铜箔厚度≤3 μm，抗拉强度≥400 MPa，延伸率≥4 %，粗糙度Rz≤1.5 μm，载体箔分离强度≤0.1 N/mm，剥离强度≥0.6 N/mm，面密度均匀性≤0.5 g/m</w:t>
      </w:r>
      <w:r>
        <w:rPr>
          <w:rFonts w:hint="default" w:ascii="Times New Roman" w:hAnsi="Times New Roman" w:eastAsia="仿宋_GB2312" w:cs="Times New Roman"/>
          <w:color w:val="auto"/>
          <w:kern w:val="0"/>
          <w:sz w:val="32"/>
          <w:szCs w:val="32"/>
          <w:highlight w:val="none"/>
          <w:vertAlign w:val="superscript"/>
          <w:lang w:val="en-US" w:eastAsia="zh-CN" w:bidi="ar"/>
        </w:rPr>
        <w:t>2</w:t>
      </w:r>
      <w:r>
        <w:rPr>
          <w:rFonts w:hint="default" w:ascii="Times New Roman" w:hAnsi="Times New Roman" w:eastAsia="仿宋_GB2312" w:cs="Times New Roman"/>
          <w:color w:val="auto"/>
          <w:kern w:val="0"/>
          <w:sz w:val="32"/>
          <w:szCs w:val="32"/>
          <w:highlight w:val="none"/>
          <w:lang w:val="en-US" w:eastAsia="zh-CN" w:bidi="ar"/>
        </w:rPr>
        <w:t>，140 ℃/15min不氧化；（2）批量生产高抗拉铜箔，抗拉强度≥600MPa、延伸率≥6%、光泽度大于100 Gu；（3）6微米锂电铜箔延伸率达10%以上，8微米锂电铜箔延伸率达15%以上；抗拉强度控制在300-400MPa；翘曲度控制在5mm以内；光泽度控制在150-300Gu；粗糙度光面Ra控制在0.3μm以内，毛面Rz控制在3μm以内。实现示范应用或产业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20．无氧高性能铜材技术研究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kern w:val="0"/>
          <w:sz w:val="32"/>
          <w:szCs w:val="32"/>
          <w:highlight w:val="none"/>
          <w:lang w:val="en-US" w:eastAsia="zh-CN" w:bidi="ar"/>
        </w:rPr>
        <w:t>主要开展非平衡反重力凝固连铸无氧铜杆关键技术及产业化、高导低氧超细晶无氧铜带制备、无氧铜高性能内沟槽管材等技术研究与开发应用。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kern w:val="0"/>
          <w:sz w:val="32"/>
          <w:szCs w:val="32"/>
          <w:highlight w:val="none"/>
          <w:lang w:val="en-US" w:eastAsia="zh-CN" w:bidi="ar"/>
        </w:rPr>
        <w:t>（1）无氧铜杆坯氧含量≤5ppm、延伸率≥40%、抗拉强度≥175MPa、密度≥8.90g/cm3，Cu≥99.99%或Cu+合金元素≥99.99%，铜杆氧含量金相检验达到1级标准；（2）无氧铜带的氧含量≤5ppm；厚度规格：0.1-1.5mm；状态：O60；抗拉强度：230-270MPa；屈服强度：65-110MPa；延伸率≥35%；维氏硬度≤65 HV；0.15mm厚板带横截面晶粒度大于10级；导电率≥101.0%IACS。（3）无氧铜管坯氧含量≤5ppm、成品氧含量≤10ppm，其他成分符合TU0牌号标准；无氧铜沟槽管规格：外径8±0.03mm；底壁厚0.30±0.03mm，齿高0.35±0.03mm，齿数68齿；状态：H55；抗拉强度：≥250MPa；维氏硬度80-120HV；导电率≥98%IACS。相关科研成果实现产业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21．超高温金属材料技术研究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kern w:val="0"/>
          <w:sz w:val="32"/>
          <w:szCs w:val="32"/>
          <w:highlight w:val="none"/>
          <w:lang w:val="en-US" w:eastAsia="zh-CN" w:bidi="ar"/>
        </w:rPr>
        <w:t>主要开展高性能碳化钨催化材料制备及催化机理研究、选冶联合制备超高纯APT、5G传输用光模块中高导热钨铜异型材料注射成型工艺等技术研究与开发应用。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考核指标：</w:t>
      </w:r>
      <w:r>
        <w:rPr>
          <w:rFonts w:hint="default" w:ascii="Times New Roman" w:hAnsi="Times New Roman" w:eastAsia="仿宋_GB2312" w:cs="Times New Roman"/>
          <w:color w:val="auto"/>
          <w:kern w:val="0"/>
          <w:sz w:val="32"/>
          <w:szCs w:val="32"/>
          <w:highlight w:val="none"/>
          <w:lang w:val="en-US" w:eastAsia="zh-CN" w:bidi="ar"/>
        </w:rPr>
        <w:t>（1）揭示碳化钨电解水催化制氢的构效关系，实现制氢电耗≤4.0 KWh/Nm3H2；在电流密度&gt;500 mA/cm2条件下，阴极制氢FE≥99%，阴极氢气纯度&gt;99.9%；匹配完整的电解水制氢系统，在1 A/cm2电流密度条件下，析氢过电位低于100 mV，1000小时衰减≤10%，电耗≤4.1kWh/Nm3H2；（2）针对WO3含量大于50%的白钨矿，制备1000公斤超高纯APT，纯度大于99.995%，全流程钨收率大于95%，废水中钨小于10ppm；实现探测模块X射线截止效率：&gt;98%；发光效率：&gt;115%；（3）制备出兼顾粗晶高导热和细晶高活性的钨铜复合粉体，W50材料导热率达到260 W/(m.K) ，W70材料导热率达到210 W/(m.K) ，W80材料导热率达到180 W/(m.K)。实现示范应用或产业化。</w:t>
      </w:r>
    </w:p>
    <w:p>
      <w:pPr>
        <w:pStyle w:val="7"/>
        <w:keepNext w:val="0"/>
        <w:keepLines w:val="0"/>
        <w:pageBreakBefore w:val="0"/>
        <w:widowControl w:val="0"/>
        <w:kinsoku/>
        <w:wordWrap/>
        <w:overflowPunct/>
        <w:topLinePunct w:val="0"/>
        <w:autoSpaceDE/>
        <w:autoSpaceDN/>
        <w:bidi w:val="0"/>
        <w:spacing w:line="580" w:lineRule="exact"/>
        <w:jc w:val="both"/>
        <w:textAlignment w:val="auto"/>
        <w:rPr>
          <w:rFonts w:hint="default" w:ascii="Times New Roman" w:hAnsi="Times New Roman" w:eastAsia="仿宋_GB2312" w:cs="Times New Roman"/>
          <w:b/>
          <w:bCs/>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val="en-US" w:eastAsia="zh-CN"/>
        </w:rPr>
        <w:t>22．</w:t>
      </w:r>
      <w:r>
        <w:rPr>
          <w:rFonts w:hint="default" w:ascii="Times New Roman" w:hAnsi="Times New Roman" w:eastAsia="仿宋_GB2312" w:cs="Times New Roman"/>
          <w:b/>
          <w:bCs/>
          <w:color w:val="auto"/>
          <w:kern w:val="0"/>
          <w:sz w:val="32"/>
          <w:szCs w:val="32"/>
          <w:highlight w:val="none"/>
          <w:lang w:val="en-US" w:eastAsia="zh-CN" w:bidi="ar"/>
        </w:rPr>
        <w:t>高性能电阻材料技术研究</w:t>
      </w:r>
    </w:p>
    <w:p>
      <w:pPr>
        <w:pStyle w:val="7"/>
        <w:keepNext w:val="0"/>
        <w:keepLines w:val="0"/>
        <w:pageBreakBefore w:val="0"/>
        <w:widowControl w:val="0"/>
        <w:kinsoku/>
        <w:wordWrap/>
        <w:overflowPunct/>
        <w:topLinePunct w:val="0"/>
        <w:autoSpaceDE/>
        <w:autoSpaceDN/>
        <w:bidi w:val="0"/>
        <w:spacing w:line="58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研究内容：</w:t>
      </w:r>
      <w:r>
        <w:rPr>
          <w:rFonts w:hint="default" w:ascii="Times New Roman" w:hAnsi="Times New Roman" w:eastAsia="仿宋_GB2312" w:cs="Times New Roman"/>
          <w:color w:val="auto"/>
          <w:kern w:val="0"/>
          <w:sz w:val="32"/>
          <w:szCs w:val="32"/>
          <w:highlight w:val="none"/>
          <w:lang w:val="en-US" w:eastAsia="zh-CN" w:bidi="ar"/>
        </w:rPr>
        <w:t>主要开展具有低温度系数和高耐压性能的薄膜电阻器用溅射靶材、超特高压断路器用陶瓷电阻片、新型高功率热电材料等技术研究与开发应用。</w:t>
      </w:r>
    </w:p>
    <w:p>
      <w:pPr>
        <w:pStyle w:val="7"/>
        <w:keepNext w:val="0"/>
        <w:keepLines w:val="0"/>
        <w:pageBreakBefore w:val="0"/>
        <w:widowControl w:val="0"/>
        <w:kinsoku/>
        <w:wordWrap/>
        <w:overflowPunct/>
        <w:topLinePunct w:val="0"/>
        <w:autoSpaceDE/>
        <w:autoSpaceDN/>
        <w:bidi w:val="0"/>
        <w:spacing w:line="58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考核指标：</w:t>
      </w:r>
      <w:r>
        <w:rPr>
          <w:rFonts w:hint="default" w:ascii="Times New Roman" w:hAnsi="Times New Roman" w:eastAsia="仿宋_GB2312" w:cs="Times New Roman"/>
          <w:color w:val="auto"/>
          <w:kern w:val="0"/>
          <w:sz w:val="32"/>
          <w:szCs w:val="32"/>
          <w:highlight w:val="none"/>
          <w:lang w:val="en-US" w:eastAsia="zh-CN" w:bidi="ar"/>
        </w:rPr>
        <w:t>（1）研制出替代进口的SJD型（低阻）、SJZ型（中阻）和SJG型（高阻）系列靶材，靶材尺寸:380×127×13 mm；靶材导电棒毛坏热处理后阻值范围:10~10K;刻槽调阻后其TCR低阻系列和中阻系列&lt;15 ppm/℃,高阻系列&lt;25PPM/℃;热稳定试验条件下阻值变化范围≤0.6%；过载试验阻值变化≤0.2%，寿命试验阻值变化≤0.25%，耐湿负荷试验阻值变化≤0.5%;耐焊接热试验，阻值变化≤+0.1%；（2）陶瓷片电阻率400±50Ω•cm，电阻温度系数（50℃-150℃） -0.1~-0.01%/℃，比热≥2J/（cm</w:t>
      </w:r>
      <w:r>
        <w:rPr>
          <w:rFonts w:hint="default" w:ascii="Times New Roman" w:hAnsi="Times New Roman" w:eastAsia="仿宋_GB2312" w:cs="Times New Roman"/>
          <w:color w:val="auto"/>
          <w:kern w:val="0"/>
          <w:sz w:val="32"/>
          <w:szCs w:val="32"/>
          <w:highlight w:val="none"/>
          <w:vertAlign w:val="superscript"/>
          <w:lang w:val="en-US" w:eastAsia="zh-CN" w:bidi="ar"/>
        </w:rPr>
        <w:t>3</w:t>
      </w:r>
      <w:r>
        <w:rPr>
          <w:rFonts w:hint="default" w:ascii="Times New Roman" w:hAnsi="Times New Roman" w:eastAsia="仿宋_GB2312" w:cs="Times New Roman"/>
          <w:color w:val="auto"/>
          <w:kern w:val="0"/>
          <w:sz w:val="32"/>
          <w:szCs w:val="32"/>
          <w:highlight w:val="none"/>
          <w:lang w:val="en-US" w:eastAsia="zh-CN" w:bidi="ar"/>
        </w:rPr>
        <w:t>•K），导热系数≥2W/m•K，平均线膨胀系数（室温-1000℃）≤5.5×10</w:t>
      </w:r>
      <w:r>
        <w:rPr>
          <w:rFonts w:hint="default" w:ascii="Times New Roman" w:hAnsi="Times New Roman" w:eastAsia="仿宋_GB2312" w:cs="Times New Roman"/>
          <w:color w:val="auto"/>
          <w:kern w:val="0"/>
          <w:sz w:val="32"/>
          <w:szCs w:val="32"/>
          <w:highlight w:val="none"/>
          <w:vertAlign w:val="superscript"/>
          <w:lang w:val="en-US" w:eastAsia="zh-CN" w:bidi="ar"/>
        </w:rPr>
        <w:t>-6</w:t>
      </w:r>
      <w:r>
        <w:rPr>
          <w:rFonts w:hint="default" w:ascii="Times New Roman" w:hAnsi="Times New Roman" w:eastAsia="仿宋_GB2312" w:cs="Times New Roman"/>
          <w:color w:val="auto"/>
          <w:kern w:val="0"/>
          <w:sz w:val="32"/>
          <w:szCs w:val="32"/>
          <w:highlight w:val="none"/>
          <w:lang w:val="en-US" w:eastAsia="zh-CN" w:bidi="ar"/>
        </w:rPr>
        <w:t>/℃，短时热容量≥550J/cm</w:t>
      </w:r>
      <w:r>
        <w:rPr>
          <w:rFonts w:hint="default" w:ascii="Times New Roman" w:hAnsi="Times New Roman" w:eastAsia="仿宋_GB2312" w:cs="Times New Roman"/>
          <w:color w:val="auto"/>
          <w:kern w:val="0"/>
          <w:sz w:val="32"/>
          <w:szCs w:val="32"/>
          <w:highlight w:val="none"/>
          <w:vertAlign w:val="superscript"/>
          <w:lang w:val="en-US" w:eastAsia="zh-CN" w:bidi="ar"/>
        </w:rPr>
        <w:t>3</w:t>
      </w:r>
      <w:r>
        <w:rPr>
          <w:rFonts w:hint="default" w:ascii="Times New Roman" w:hAnsi="Times New Roman" w:eastAsia="仿宋_GB2312" w:cs="Times New Roman"/>
          <w:color w:val="auto"/>
          <w:kern w:val="0"/>
          <w:sz w:val="32"/>
          <w:szCs w:val="32"/>
          <w:highlight w:val="none"/>
          <w:lang w:val="en-US" w:eastAsia="zh-CN" w:bidi="ar"/>
        </w:rPr>
        <w:t>；（3）开发1-2种n型和p型新型热电材料，300-600K温区内材料平均热电优值z</w:t>
      </w:r>
      <w:r>
        <w:rPr>
          <w:rFonts w:hint="default" w:ascii="Times New Roman" w:hAnsi="Times New Roman" w:eastAsia="仿宋_GB2312" w:cs="Times New Roman"/>
          <w:color w:val="auto"/>
          <w:kern w:val="0"/>
          <w:sz w:val="32"/>
          <w:szCs w:val="32"/>
          <w:highlight w:val="none"/>
          <w:vertAlign w:val="subscript"/>
          <w:lang w:val="en-US" w:eastAsia="zh-CN" w:bidi="ar"/>
        </w:rPr>
        <w:t>Tavg</w:t>
      </w:r>
      <w:r>
        <w:rPr>
          <w:rFonts w:hint="default" w:ascii="Times New Roman" w:hAnsi="Times New Roman" w:eastAsia="仿宋_GB2312" w:cs="Times New Roman"/>
          <w:color w:val="auto"/>
          <w:kern w:val="0"/>
          <w:sz w:val="32"/>
          <w:szCs w:val="32"/>
          <w:highlight w:val="none"/>
          <w:lang w:val="en-US" w:eastAsia="zh-CN" w:bidi="ar"/>
        </w:rPr>
        <w:t>≥1.2，热电优质峰值z</w:t>
      </w:r>
      <w:r>
        <w:rPr>
          <w:rFonts w:hint="default" w:ascii="Times New Roman" w:hAnsi="Times New Roman" w:eastAsia="仿宋_GB2312" w:cs="Times New Roman"/>
          <w:color w:val="auto"/>
          <w:kern w:val="0"/>
          <w:sz w:val="32"/>
          <w:szCs w:val="32"/>
          <w:highlight w:val="none"/>
          <w:vertAlign w:val="subscript"/>
          <w:lang w:val="en-US" w:eastAsia="zh-CN" w:bidi="ar"/>
        </w:rPr>
        <w:t>Tmax</w:t>
      </w:r>
      <w:r>
        <w:rPr>
          <w:rFonts w:hint="default" w:ascii="Times New Roman" w:hAnsi="Times New Roman" w:eastAsia="仿宋_GB2312" w:cs="Times New Roman"/>
          <w:color w:val="auto"/>
          <w:kern w:val="0"/>
          <w:sz w:val="32"/>
          <w:szCs w:val="32"/>
          <w:highlight w:val="none"/>
          <w:lang w:val="en-US" w:eastAsia="zh-CN" w:bidi="ar"/>
        </w:rPr>
        <w:t>≥1.5，材料加工尺寸达100μm；开发高稳定界面层材料与低阻高强连接技术，界面电阻≤5μΩcm</w:t>
      </w:r>
      <w:r>
        <w:rPr>
          <w:rFonts w:hint="default" w:ascii="Times New Roman" w:hAnsi="Times New Roman" w:eastAsia="仿宋_GB2312" w:cs="Times New Roman"/>
          <w:color w:val="auto"/>
          <w:kern w:val="0"/>
          <w:sz w:val="32"/>
          <w:szCs w:val="32"/>
          <w:highlight w:val="none"/>
          <w:vertAlign w:val="superscript"/>
          <w:lang w:val="en-US" w:eastAsia="zh-CN" w:bidi="ar"/>
        </w:rPr>
        <w:t>2</w:t>
      </w:r>
      <w:r>
        <w:rPr>
          <w:rFonts w:hint="default" w:ascii="Times New Roman" w:hAnsi="Times New Roman" w:eastAsia="仿宋_GB2312" w:cs="Times New Roman"/>
          <w:color w:val="auto"/>
          <w:kern w:val="0"/>
          <w:sz w:val="32"/>
          <w:szCs w:val="32"/>
          <w:highlight w:val="none"/>
          <w:lang w:val="en-US" w:eastAsia="zh-CN" w:bidi="ar"/>
        </w:rPr>
        <w:t>，结合强度≥5MPa；研制基于新材料的热电制冷器件和发电器件。实现示范应用或产业化。</w:t>
      </w:r>
    </w:p>
    <w:p>
      <w:pPr>
        <w:pStyle w:val="7"/>
        <w:keepNext w:val="0"/>
        <w:keepLines w:val="0"/>
        <w:pageBreakBefore w:val="0"/>
        <w:widowControl w:val="0"/>
        <w:kinsoku/>
        <w:wordWrap/>
        <w:overflowPunct/>
        <w:topLinePunct w:val="0"/>
        <w:autoSpaceDE/>
        <w:autoSpaceDN/>
        <w:bidi w:val="0"/>
        <w:spacing w:line="580" w:lineRule="exact"/>
        <w:jc w:val="both"/>
        <w:textAlignment w:val="auto"/>
        <w:rPr>
          <w:rFonts w:hint="default" w:ascii="Times New Roman" w:hAnsi="Times New Roman" w:eastAsia="仿宋_GB2312" w:cs="Times New Roman"/>
          <w:b/>
          <w:bCs/>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val="en-US" w:eastAsia="zh-CN"/>
        </w:rPr>
        <w:t>23．</w:t>
      </w:r>
      <w:r>
        <w:rPr>
          <w:rFonts w:hint="default" w:ascii="Times New Roman" w:hAnsi="Times New Roman" w:eastAsia="仿宋_GB2312" w:cs="Times New Roman"/>
          <w:b/>
          <w:bCs/>
          <w:color w:val="auto"/>
          <w:kern w:val="0"/>
          <w:sz w:val="32"/>
          <w:szCs w:val="32"/>
          <w:highlight w:val="none"/>
          <w:lang w:val="en-US" w:eastAsia="zh-CN" w:bidi="ar"/>
        </w:rPr>
        <w:t>高性能半导体材料技术研究</w:t>
      </w:r>
    </w:p>
    <w:p>
      <w:pPr>
        <w:pStyle w:val="7"/>
        <w:keepNext w:val="0"/>
        <w:keepLines w:val="0"/>
        <w:pageBreakBefore w:val="0"/>
        <w:widowControl w:val="0"/>
        <w:kinsoku/>
        <w:wordWrap/>
        <w:overflowPunct/>
        <w:topLinePunct w:val="0"/>
        <w:autoSpaceDE/>
        <w:autoSpaceDN/>
        <w:bidi w:val="0"/>
        <w:spacing w:line="58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研究内容：</w:t>
      </w:r>
      <w:r>
        <w:rPr>
          <w:rFonts w:hint="default" w:ascii="Times New Roman" w:hAnsi="Times New Roman" w:eastAsia="仿宋_GB2312" w:cs="Times New Roman"/>
          <w:color w:val="auto"/>
          <w:kern w:val="0"/>
          <w:sz w:val="32"/>
          <w:szCs w:val="32"/>
          <w:highlight w:val="none"/>
          <w:lang w:val="en-US" w:eastAsia="zh-CN" w:bidi="ar"/>
        </w:rPr>
        <w:t>主要开展功能金属氧化物半导体纳米材料、晶圆超级低介电常数薄膜材料、高服役温度层状氧化物压电材料等技术研究与开发应用。</w:t>
      </w:r>
    </w:p>
    <w:p>
      <w:pPr>
        <w:pStyle w:val="7"/>
        <w:keepNext w:val="0"/>
        <w:keepLines w:val="0"/>
        <w:pageBreakBefore w:val="0"/>
        <w:widowControl w:val="0"/>
        <w:kinsoku/>
        <w:wordWrap/>
        <w:overflowPunct/>
        <w:topLinePunct w:val="0"/>
        <w:autoSpaceDE/>
        <w:autoSpaceDN/>
        <w:bidi w:val="0"/>
        <w:spacing w:line="58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考核指标：</w:t>
      </w:r>
      <w:r>
        <w:rPr>
          <w:rFonts w:hint="default" w:ascii="Times New Roman" w:hAnsi="Times New Roman" w:eastAsia="仿宋_GB2312" w:cs="Times New Roman"/>
          <w:color w:val="auto"/>
          <w:kern w:val="0"/>
          <w:sz w:val="32"/>
          <w:szCs w:val="32"/>
          <w:highlight w:val="none"/>
          <w:lang w:val="en-US" w:eastAsia="zh-CN" w:bidi="ar"/>
        </w:rPr>
        <w:t>（1）获得尺寸均一、组成精细可调的纳米或亚纳米级金属氧化物纳米材料，尺寸≤5 nm，各类氧化物纳米材料在常见溶剂的溶解度不低于30 mg/mL，表面粗糙度小于3 nm，20 nm厚度时的透光率大于等于80%；（2）介电常数满足k&lt;2；击穿电压：≥8 MV/cm(厚度5 nm)，漏电条件：≤5 𝜇𝐴/𝑐𝑚^2 (1 MV/cm)，质量密度：≥1.8</w:t>
      </w:r>
      <w:r>
        <w:rPr>
          <w:rFonts w:hint="default" w:ascii="Times New Roman" w:hAnsi="Times New Roman" w:eastAsia="仿宋_GB2312" w:cs="Times New Roman"/>
          <w:color w:val="FF0000"/>
          <w:kern w:val="0"/>
          <w:sz w:val="32"/>
          <w:szCs w:val="32"/>
          <w:highlight w:val="none"/>
          <w:lang w:val="en-US" w:eastAsia="zh-CN" w:bidi="ar"/>
        </w:rPr>
        <w:t xml:space="preserve"> </w:t>
      </w:r>
      <w:r>
        <w:rPr>
          <w:rFonts w:hint="default" w:ascii="Times New Roman" w:hAnsi="Times New Roman" w:eastAsia="仿宋_GB2312" w:cs="Times New Roman"/>
          <w:color w:val="auto"/>
          <w:kern w:val="0"/>
          <w:sz w:val="32"/>
          <w:szCs w:val="32"/>
          <w:highlight w:val="none"/>
          <w:lang w:val="en-US" w:eastAsia="zh-CN" w:bidi="ar"/>
        </w:rPr>
        <w:t>g/𝑐𝑚cm</w:t>
      </w:r>
      <w:r>
        <w:rPr>
          <w:rFonts w:hint="default" w:ascii="Times New Roman" w:hAnsi="Times New Roman" w:eastAsia="仿宋_GB2312" w:cs="Times New Roman"/>
          <w:color w:val="auto"/>
          <w:kern w:val="0"/>
          <w:sz w:val="32"/>
          <w:szCs w:val="32"/>
          <w:highlight w:val="none"/>
          <w:vertAlign w:val="superscript"/>
          <w:lang w:val="en-US" w:eastAsia="zh-CN" w:bidi="ar"/>
        </w:rPr>
        <w:t>3</w:t>
      </w:r>
      <w:r>
        <w:rPr>
          <w:rFonts w:hint="default" w:ascii="Times New Roman" w:hAnsi="Times New Roman" w:eastAsia="仿宋_GB2312" w:cs="Times New Roman"/>
          <w:color w:val="auto"/>
          <w:kern w:val="0"/>
          <w:sz w:val="32"/>
          <w:szCs w:val="32"/>
          <w:highlight w:val="none"/>
          <w:lang w:val="en-US" w:eastAsia="zh-CN" w:bidi="ar"/>
        </w:rPr>
        <w:t>，机械强度：&gt;10 GP；在400℃条件下，对多种Cu、Co、W、Mo均具备良好的金属热屏障性能；研制4英寸以上晶圆级介电材料生长系统1-2台套；（3）研制高服役温度铋层状压电材料1-2种、高温压电振动传感器1-2类；居里温度T</w:t>
      </w:r>
      <w:r>
        <w:rPr>
          <w:rFonts w:hint="default" w:ascii="Times New Roman" w:hAnsi="Times New Roman" w:eastAsia="仿宋_GB2312" w:cs="Times New Roman"/>
          <w:color w:val="auto"/>
          <w:kern w:val="0"/>
          <w:sz w:val="32"/>
          <w:szCs w:val="32"/>
          <w:highlight w:val="none"/>
          <w:vertAlign w:val="subscript"/>
          <w:lang w:val="en-US" w:eastAsia="zh-CN" w:bidi="ar"/>
        </w:rPr>
        <w:t>c</w:t>
      </w:r>
      <w:r>
        <w:rPr>
          <w:rFonts w:hint="default" w:ascii="Times New Roman" w:hAnsi="Times New Roman" w:eastAsia="仿宋_GB2312" w:cs="Times New Roman"/>
          <w:color w:val="auto"/>
          <w:kern w:val="0"/>
          <w:sz w:val="32"/>
          <w:szCs w:val="32"/>
          <w:highlight w:val="none"/>
          <w:lang w:val="en-US" w:eastAsia="zh-CN" w:bidi="ar"/>
        </w:rPr>
        <w:t>≥680℃、压电系数d</w:t>
      </w:r>
      <w:r>
        <w:rPr>
          <w:rFonts w:hint="default" w:ascii="Times New Roman" w:hAnsi="Times New Roman" w:eastAsia="仿宋_GB2312" w:cs="Times New Roman"/>
          <w:color w:val="auto"/>
          <w:kern w:val="0"/>
          <w:sz w:val="32"/>
          <w:szCs w:val="32"/>
          <w:highlight w:val="none"/>
          <w:vertAlign w:val="subscript"/>
          <w:lang w:val="en-US" w:eastAsia="zh-CN" w:bidi="ar"/>
        </w:rPr>
        <w:t>33</w:t>
      </w:r>
      <w:r>
        <w:rPr>
          <w:rFonts w:hint="default" w:ascii="Times New Roman" w:hAnsi="Times New Roman" w:eastAsia="仿宋_GB2312" w:cs="Times New Roman"/>
          <w:color w:val="auto"/>
          <w:kern w:val="0"/>
          <w:sz w:val="32"/>
          <w:szCs w:val="32"/>
          <w:highlight w:val="none"/>
          <w:lang w:val="en-US" w:eastAsia="zh-CN" w:bidi="ar"/>
        </w:rPr>
        <w:t>≥21 pC/N、介质损耗tanδ&lt;5‰，高温压电振动传感器工作温度：-20℃~480℃，温度响应≤18%、灵敏度≥5pC/g。实现示范应用或产业化。</w:t>
      </w:r>
    </w:p>
    <w:p>
      <w:pPr>
        <w:pStyle w:val="7"/>
        <w:keepNext w:val="0"/>
        <w:keepLines w:val="0"/>
        <w:pageBreakBefore w:val="0"/>
        <w:widowControl w:val="0"/>
        <w:kinsoku/>
        <w:wordWrap/>
        <w:overflowPunct/>
        <w:topLinePunct w:val="0"/>
        <w:autoSpaceDE/>
        <w:autoSpaceDN/>
        <w:bidi w:val="0"/>
        <w:spacing w:line="580" w:lineRule="exact"/>
        <w:jc w:val="both"/>
        <w:textAlignment w:val="auto"/>
        <w:rPr>
          <w:rFonts w:hint="default" w:ascii="Times New Roman" w:hAnsi="Times New Roman" w:eastAsia="仿宋_GB2312" w:cs="Times New Roman"/>
          <w:b/>
          <w:bCs/>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24．Mg-Sm系稀土镁合金技术研究</w:t>
      </w:r>
    </w:p>
    <w:p>
      <w:pPr>
        <w:pStyle w:val="7"/>
        <w:keepNext w:val="0"/>
        <w:keepLines w:val="0"/>
        <w:pageBreakBefore w:val="0"/>
        <w:widowControl w:val="0"/>
        <w:kinsoku/>
        <w:wordWrap/>
        <w:overflowPunct/>
        <w:topLinePunct w:val="0"/>
        <w:autoSpaceDE/>
        <w:autoSpaceDN/>
        <w:bidi w:val="0"/>
        <w:spacing w:line="580" w:lineRule="exact"/>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研究内容：</w:t>
      </w:r>
      <w:r>
        <w:rPr>
          <w:rFonts w:hint="default" w:ascii="Times New Roman" w:hAnsi="Times New Roman" w:eastAsia="仿宋_GB2312" w:cs="Times New Roman"/>
          <w:color w:val="auto"/>
          <w:kern w:val="0"/>
          <w:sz w:val="32"/>
          <w:szCs w:val="32"/>
          <w:highlight w:val="none"/>
          <w:lang w:val="en-US" w:eastAsia="zh-CN" w:bidi="ar"/>
        </w:rPr>
        <w:t>主要开展</w:t>
      </w:r>
      <w:bookmarkStart w:id="1" w:name="_GoBack"/>
      <w:bookmarkEnd w:id="1"/>
      <w:r>
        <w:rPr>
          <w:rFonts w:hint="default" w:ascii="Times New Roman" w:hAnsi="Times New Roman" w:eastAsia="仿宋_GB2312" w:cs="Times New Roman"/>
          <w:color w:val="auto"/>
          <w:kern w:val="0"/>
          <w:sz w:val="32"/>
          <w:szCs w:val="32"/>
          <w:highlight w:val="none"/>
          <w:lang w:val="en-US" w:eastAsia="zh-CN" w:bidi="ar"/>
        </w:rPr>
        <w:t>高性能低合金化Mg-Sm系稀土镁合金高效率轧制成型技术及防腐蚀技术、高性能Mg-Sm系稀土镁合金成分设计与压铸成型技术等关键技术研究。</w:t>
      </w:r>
    </w:p>
    <w:p>
      <w:pPr>
        <w:pStyle w:val="4"/>
        <w:keepNext w:val="0"/>
        <w:keepLines w:val="0"/>
        <w:pageBreakBefore w:val="0"/>
        <w:widowControl w:val="0"/>
        <w:kinsoku/>
        <w:wordWrap/>
        <w:overflowPunct/>
        <w:topLinePunct w:val="0"/>
        <w:autoSpaceDE/>
        <w:autoSpaceDN/>
        <w:bidi w:val="0"/>
        <w:spacing w:after="0" w:afterLines="0" w:line="580" w:lineRule="exact"/>
        <w:jc w:val="both"/>
        <w:textAlignment w:val="auto"/>
        <w:rPr>
          <w:rFonts w:hint="default" w:ascii="Times New Roman" w:hAnsi="Times New Roman" w:cs="Times New Roman"/>
          <w:sz w:val="32"/>
          <w:szCs w:val="32"/>
        </w:rPr>
      </w:pPr>
      <w:r>
        <w:rPr>
          <w:rFonts w:hint="default" w:ascii="Times New Roman" w:hAnsi="Times New Roman" w:eastAsia="仿宋_GB2312" w:cs="Times New Roman"/>
          <w:b/>
          <w:bCs/>
          <w:color w:val="auto"/>
          <w:kern w:val="0"/>
          <w:sz w:val="32"/>
          <w:szCs w:val="32"/>
          <w:highlight w:val="none"/>
          <w:lang w:val="en-US" w:eastAsia="zh-CN" w:bidi="ar"/>
        </w:rPr>
        <w:t>考核指标：</w:t>
      </w:r>
      <w:r>
        <w:rPr>
          <w:rFonts w:hint="default" w:ascii="Times New Roman" w:hAnsi="Times New Roman" w:eastAsia="仿宋_GB2312" w:cs="Times New Roman"/>
          <w:color w:val="auto"/>
          <w:kern w:val="0"/>
          <w:sz w:val="32"/>
          <w:szCs w:val="32"/>
          <w:highlight w:val="none"/>
          <w:lang w:val="en-US" w:eastAsia="zh-CN" w:bidi="ar"/>
        </w:rPr>
        <w:t>（1）筛选低合金化镁合金成分体系≥2种及以上；轧制态低合金化镁合金性能指标：屈服强度≥430 MPa、抗拉强度 Rm≥450 MPa、断后延伸率≥3%；热处理态低合金化镁合金性能指标：屈服强度≥450 MPa、抗拉强度 Rm≥470 MPa、断后延伸率≥6%；开发出稀土镁合金短流程轧制技术一套，低合金化稀土镁合金单道次轧制压下量可大于40%；发展1-2种稀土镁合金腐蚀防护方法，腐蚀速率降低50%以上；开发出一款无人机用高性能稀土镁合金零部件，形成示范应用；（2）铸造非热处理态高强度韧性稀土镁合金性能指标：抗拉强度 Rm≥240 MPa、屈服强度R0.2≥200 MPa、断后延伸率A≥10%；弹性模量≥48GPa；密度小于1.9g/cm3；合金总含量小于10wt.%；开发出一款稀土镁合金汽车或电子产品用零部件。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四、新能源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bidi="ar"/>
        </w:rPr>
        <w:t>25．光</w:t>
      </w:r>
      <w:r>
        <w:rPr>
          <w:rFonts w:hint="default" w:ascii="Times New Roman" w:hAnsi="Times New Roman" w:eastAsia="仿宋_GB2312" w:cs="Times New Roman"/>
          <w:b/>
          <w:bCs/>
          <w:color w:val="auto"/>
          <w:sz w:val="32"/>
          <w:szCs w:val="32"/>
          <w:highlight w:val="none"/>
          <w:lang w:val="en-US" w:eastAsia="zh-CN"/>
        </w:rPr>
        <w:t>伏单晶硅制备技术研究</w:t>
      </w:r>
      <w:r>
        <w:rPr>
          <w:rFonts w:hint="default" w:ascii="Times New Roman" w:hAnsi="Times New Roman" w:eastAsia="仿宋_GB2312" w:cs="Times New Roman"/>
          <w:b/>
          <w:bCs/>
          <w:color w:val="auto"/>
          <w:sz w:val="32"/>
          <w:szCs w:val="32"/>
          <w:highlight w:val="none"/>
        </w:rPr>
        <w:t>（青年科学家项目）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w:t>
      </w:r>
      <w:r>
        <w:rPr>
          <w:rFonts w:hint="default" w:ascii="Times New Roman" w:hAnsi="Times New Roman" w:eastAsia="仿宋_GB2312" w:cs="Times New Roman"/>
          <w:color w:val="auto"/>
          <w:kern w:val="0"/>
          <w:sz w:val="32"/>
          <w:szCs w:val="32"/>
          <w:highlight w:val="none"/>
          <w:lang w:val="en-US" w:eastAsia="zh-CN" w:bidi="ar"/>
        </w:rPr>
        <w:t>开展210mm大尺寸高品质单晶硅稳定生长调控技术与装备、氮化硅基复合材料直拉单晶硅生产用坩埚、低成本单晶锅底料回收使用等关键技术研究与开发应用。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大尺寸高品质单晶硅稳定生长调控技术与装备达到：自行研制完成210mm大尺寸高品质单晶硅稳定生长炉样机1台，并形成稳定生长工艺包，所得单晶硅棒平均径向电阻率差异＜0.1Ω.cm，头部氧含量≤9ppma；（2）氮化硅基复合材料单晶硅坩埚达到：开发1条氮化硅基复合材料单晶硅坩埚制造线，其高纯石英砂用量减少为常规直拉单晶硅生产用石英坩埚用量的20%以下，使用寿命大于1000小时；（3）低成本单晶锅底料回收使用达到：形成单晶锅底料整套去杂质工艺技术，掺杂元素去除比例≥80%；使用回收锅底料生产的硅片电池转换效率≥25%。实现示范应用或产业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bidi="ar"/>
        </w:rPr>
        <w:t>26．</w:t>
      </w:r>
      <w:r>
        <w:rPr>
          <w:rFonts w:hint="default" w:ascii="Times New Roman" w:hAnsi="Times New Roman" w:eastAsia="仿宋_GB2312" w:cs="Times New Roman"/>
          <w:b/>
          <w:bCs/>
          <w:color w:val="auto"/>
          <w:sz w:val="32"/>
          <w:szCs w:val="32"/>
          <w:highlight w:val="none"/>
          <w:lang w:val="en-US" w:eastAsia="zh-CN"/>
        </w:rPr>
        <w:t>新型负极材料关键技术研究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主要开展基于薄石墨片三维导电网络的球状高硅比硅-碳负极材料</w:t>
      </w:r>
      <w:r>
        <w:rPr>
          <w:rFonts w:hint="default" w:ascii="Times New Roman" w:hAnsi="Times New Roman" w:eastAsia="仿宋_GB2312" w:cs="Times New Roman"/>
          <w:color w:val="auto"/>
          <w:sz w:val="32"/>
          <w:szCs w:val="32"/>
          <w:highlight w:val="none"/>
          <w:lang w:val="en-US" w:eastAsia="zh-CN"/>
        </w:rPr>
        <w:t>、高能量密度锂电硅碳负极材料、高比容量锂电池负极材料技术及其在锂电容器中的应用等关键技术研究</w:t>
      </w:r>
      <w:r>
        <w:rPr>
          <w:rFonts w:hint="default" w:ascii="Times New Roman" w:hAnsi="Times New Roman" w:eastAsia="仿宋_GB2312" w:cs="Times New Roman"/>
          <w:color w:val="auto"/>
          <w:sz w:val="32"/>
          <w:szCs w:val="32"/>
          <w:highlight w:val="none"/>
          <w:lang w:eastAsia="zh-CN"/>
        </w:rPr>
        <w:t>与开发应用。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en"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（1）锂电负极材料达到：可逆比容量≥600 mAh/g，首效≥93%，循环寿命≥1200圈（80%容量保持率），建成年产100吨以上规模中试线或量产线；（2）粒度D50=7±1μm；比表面积≤6m²/g；首次可逆容量≥1800mAh/g；首次库伦效率≥92%；将硅碳负极材料混合石墨制成比容量500mAh/g的负极片，充电满电厚度膨胀＜30%；（3）锂电容器负极材料达到：电容器能量密度≥50Wh/kg，功率密度≧8000W/Kg，2C充电容量/0.5C充电容量≥80 %；200000次室温循环容量保持率≥80%（1C）。实现示范应用或产业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27．锂离子电池材料回收利用技术研究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b w:val="0"/>
          <w:bCs w:val="0"/>
          <w:color w:val="auto"/>
          <w:sz w:val="32"/>
          <w:szCs w:val="32"/>
          <w:highlight w:val="none"/>
          <w:lang w:val="en-US" w:eastAsia="zh-CN"/>
        </w:rPr>
        <w:t>主要开展</w:t>
      </w:r>
      <w:r>
        <w:rPr>
          <w:rFonts w:hint="default" w:ascii="Times New Roman" w:hAnsi="Times New Roman" w:eastAsia="仿宋_GB2312" w:cs="Times New Roman"/>
          <w:color w:val="auto"/>
          <w:sz w:val="32"/>
          <w:szCs w:val="32"/>
          <w:highlight w:val="none"/>
          <w:lang w:eastAsia="zh-CN"/>
        </w:rPr>
        <w:t>废磷酸铁锂全组元综合利用与再制造、退役锂离子电池负极石墨的高效修复</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失效电池正极材料修复等</w:t>
      </w:r>
      <w:r>
        <w:rPr>
          <w:rFonts w:hint="default" w:ascii="Times New Roman" w:hAnsi="Times New Roman" w:eastAsia="仿宋_GB2312" w:cs="Times New Roman"/>
          <w:color w:val="auto"/>
          <w:sz w:val="32"/>
          <w:szCs w:val="32"/>
          <w:highlight w:val="none"/>
          <w:lang w:val="en-US" w:eastAsia="zh-CN"/>
        </w:rPr>
        <w:t>关键技术研究</w:t>
      </w:r>
      <w:r>
        <w:rPr>
          <w:rFonts w:hint="default" w:ascii="Times New Roman" w:hAnsi="Times New Roman" w:eastAsia="仿宋_GB2312" w:cs="Times New Roman"/>
          <w:color w:val="auto"/>
          <w:sz w:val="32"/>
          <w:szCs w:val="32"/>
          <w:highlight w:val="none"/>
          <w:lang w:eastAsia="zh-CN"/>
        </w:rPr>
        <w:t>与开发应用。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废磷酸铁锂全组元综合利用与再制造达到：建成综合回收与再制造中试线并形成稳定工艺技术，锂回收率≥92%，实现电池级磷酸铁回收生产，其铁/磷比波动＜5%，比表面积≥5m2/g，振实密度≥1g/cm3；（2）负极石墨高效修复达到：石墨回收率≥99%，回收石墨纯度≥99%，残余铜含量＜50ppm，石墨化度≥92%，其比容量、首效及循环寿命达到常规石墨负极材料平均水平，0.2C倍率时首次放电容量≥340mAh/g，首次库伦效率≥92%，循环寿命≥2000次；（3）直接修复的正极材料的初始容量与循环性能达到同种商业化正极材料平均水平，磷酸铁锂：0.2C倍率时首次放电容量≥155mAh/g，循环次数≥5000次；三元正极材料容量≥180mAh/g（4.2V），循环次数≥2000次。实现示范应用或产业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28．氢能应用关键技术研究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b w:val="0"/>
          <w:bCs w:val="0"/>
          <w:color w:val="auto"/>
          <w:sz w:val="32"/>
          <w:szCs w:val="32"/>
          <w:highlight w:val="none"/>
          <w:lang w:val="en-US" w:eastAsia="zh-CN"/>
        </w:rPr>
        <w:t>主要开展</w:t>
      </w:r>
      <w:r>
        <w:rPr>
          <w:rFonts w:hint="default" w:ascii="Times New Roman" w:hAnsi="Times New Roman" w:eastAsia="仿宋_GB2312" w:cs="Times New Roman"/>
          <w:color w:val="auto"/>
          <w:sz w:val="32"/>
          <w:szCs w:val="32"/>
          <w:highlight w:val="none"/>
          <w:lang w:eastAsia="zh-CN"/>
        </w:rPr>
        <w:t>电解水</w:t>
      </w:r>
      <w:r>
        <w:rPr>
          <w:rFonts w:hint="default" w:ascii="Times New Roman" w:hAnsi="Times New Roman" w:eastAsia="仿宋_GB2312" w:cs="Times New Roman"/>
          <w:color w:val="auto"/>
          <w:sz w:val="32"/>
          <w:szCs w:val="32"/>
          <w:highlight w:val="none"/>
          <w:lang w:val="en-US" w:eastAsia="zh-CN"/>
        </w:rPr>
        <w:t>制氢</w:t>
      </w:r>
      <w:r>
        <w:rPr>
          <w:rFonts w:hint="default" w:ascii="Times New Roman" w:hAnsi="Times New Roman" w:eastAsia="仿宋_GB2312" w:cs="Times New Roman"/>
          <w:color w:val="auto"/>
          <w:sz w:val="32"/>
          <w:szCs w:val="32"/>
          <w:highlight w:val="none"/>
          <w:lang w:eastAsia="zh-CN"/>
        </w:rPr>
        <w:t>高效催化电极涂层制备与应用、新型低碳氨燃料锅炉燃烧设备</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陶瓷加热炉低碳燃料清洁高效利用等</w:t>
      </w:r>
      <w:r>
        <w:rPr>
          <w:rFonts w:hint="default" w:ascii="Times New Roman" w:hAnsi="Times New Roman" w:eastAsia="仿宋_GB2312" w:cs="Times New Roman"/>
          <w:color w:val="auto"/>
          <w:sz w:val="32"/>
          <w:szCs w:val="32"/>
          <w:highlight w:val="none"/>
          <w:lang w:val="en-US" w:eastAsia="zh-CN"/>
        </w:rPr>
        <w:t>关键技术研究</w:t>
      </w:r>
      <w:r>
        <w:rPr>
          <w:rFonts w:hint="default" w:ascii="Times New Roman" w:hAnsi="Times New Roman" w:eastAsia="仿宋_GB2312" w:cs="Times New Roman"/>
          <w:color w:val="auto"/>
          <w:sz w:val="32"/>
          <w:szCs w:val="32"/>
          <w:highlight w:val="none"/>
          <w:lang w:eastAsia="zh-CN"/>
        </w:rPr>
        <w:t>与开发应用。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开发高催化活性电解水制氢高效催化电极涂层粉末，形成大尺寸自支撑催化电极制备成套技术，建成高催化活性、高结合强度的多孔涂层制备示范线，尺寸＞5000cm²,电极性能达到：100mA/cm2下，涂层电极析氧过电位&lt;300mV，析氢过电位&lt;150 mV，16000~20000A/m2条件下电解槽小室电压≤2V；（2）新型零碳氨燃料锅炉燃烧设备达到：完成样机2台套，其额定燃烧功率不低于8.7MW，燃烧效率不低于99.9%，氨燃料占比不低于50%，烟气NOx排放≤50mg/m3，与纯油燃烧器产品相比较，实现排放减碳不低于50%;（3）低碳燃料清洁高效利用达到：天然气掺氨燃烧的燃烧中间自由基及稳定产物实验测量误差≤10%，完成适用于陶瓷加热炉的天然气掺氨燃烧器样机，其掺氨体积比≥50%，单支燃烧器额定热负荷≥30kW，燃烧效率≥99%，烟气NOx排放≤50mg/m3。实现示范应用或产业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29．光伏与锂电产品升级技术研究</w:t>
      </w:r>
      <w:r>
        <w:rPr>
          <w:rFonts w:hint="default" w:ascii="Times New Roman" w:hAnsi="Times New Roman" w:eastAsia="仿宋_GB2312" w:cs="Times New Roman"/>
          <w:b/>
          <w:bCs/>
          <w:color w:val="auto"/>
          <w:sz w:val="32"/>
          <w:szCs w:val="32"/>
          <w:highlight w:val="none"/>
        </w:rPr>
        <w:t>（青年科学家项目）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kern w:val="0"/>
          <w:sz w:val="32"/>
          <w:szCs w:val="32"/>
          <w:highlight w:val="none"/>
          <w:lang w:val="en-US" w:eastAsia="zh-CN" w:bidi="ar"/>
        </w:rPr>
        <w:t>基于铜栅和低铟导电膜技术的HJT太阳电池、车用软包高安全CTP技术动力系统、电池级氟化锂制备等关键技术研究与开发应用。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（1）基于铜栅和低铟导电膜技术的HJT太阳电池达到：TCO薄膜铟含量降低50%以上，电池片尺寸210mm* 210mm，铜栅电镀单机产能≥6000片/小时，破片率≤0.2%，低铟、铜栅线异质结电池最高光电转换效率≥26.0%，量产光电转换效率≥25.5%，成本与常规PERC电池成本持平；（2）车用软包高安全CTP技术动力系统达到：设计并制造出软包车用动力电池系统3台套，其成组效率不低于70%，系统内各处电池温差≤5℃；热安全性能指标5倍于国家强制标准；（3）设计氟化氢回用关键装备，实现全流程锂、氟综合利用率≥98%，形成具有自主知识产权体系的苛化中和法制备电池级氟化锂的产业化技术。实现示范应用或产业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30．新型光伏系统与组件技术研究（青年科学家项目）</w:t>
      </w:r>
    </w:p>
    <w:p>
      <w:pPr>
        <w:pStyle w:val="4"/>
        <w:keepNext w:val="0"/>
        <w:keepLines w:val="0"/>
        <w:pageBreakBefore w:val="0"/>
        <w:widowControl w:val="0"/>
        <w:numPr>
          <w:ilvl w:val="-1"/>
          <w:numId w:val="0"/>
        </w:numPr>
        <w:kinsoku/>
        <w:wordWrap/>
        <w:overflowPunct/>
        <w:topLinePunct w:val="0"/>
        <w:autoSpaceDE/>
        <w:autoSpaceDN/>
        <w:bidi w:val="0"/>
        <w:spacing w:after="0" w:afterLines="0" w:line="580" w:lineRule="exact"/>
        <w:ind w:firstLine="643"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b w:val="0"/>
          <w:bCs w:val="0"/>
          <w:color w:val="auto"/>
          <w:sz w:val="32"/>
          <w:szCs w:val="32"/>
          <w:highlight w:val="none"/>
          <w:lang w:val="en-US" w:eastAsia="zh-CN"/>
        </w:rPr>
        <w:t>主要开展基于柔性异形封装胶膜的高功率光伏组件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基于高速公路的光伏储能协同供能系统</w:t>
      </w:r>
      <w:r>
        <w:rPr>
          <w:rFonts w:hint="default" w:ascii="Times New Roman" w:hAnsi="Times New Roman" w:eastAsia="仿宋_GB2312" w:cs="Times New Roman"/>
          <w:color w:val="auto"/>
          <w:sz w:val="32"/>
          <w:szCs w:val="32"/>
          <w:highlight w:val="none"/>
          <w:lang w:eastAsia="zh-CN"/>
        </w:rPr>
        <w:t>等</w:t>
      </w:r>
      <w:r>
        <w:rPr>
          <w:rFonts w:hint="default" w:ascii="Times New Roman" w:hAnsi="Times New Roman" w:eastAsia="仿宋_GB2312" w:cs="Times New Roman"/>
          <w:color w:val="auto"/>
          <w:sz w:val="32"/>
          <w:szCs w:val="32"/>
          <w:highlight w:val="none"/>
          <w:lang w:val="en-US" w:eastAsia="zh-CN"/>
        </w:rPr>
        <w:t>关键技术研究</w:t>
      </w:r>
      <w:r>
        <w:rPr>
          <w:rFonts w:hint="default" w:ascii="Times New Roman" w:hAnsi="Times New Roman" w:eastAsia="仿宋_GB2312" w:cs="Times New Roman"/>
          <w:color w:val="auto"/>
          <w:sz w:val="32"/>
          <w:szCs w:val="32"/>
          <w:highlight w:val="none"/>
          <w:lang w:eastAsia="zh-CN"/>
        </w:rPr>
        <w:t>与开发应用</w:t>
      </w:r>
      <w:r>
        <w:rPr>
          <w:rFonts w:hint="default" w:ascii="Times New Roman" w:hAnsi="Times New Roman" w:cs="Times New Roman"/>
          <w:sz w:val="32"/>
          <w:szCs w:val="32"/>
          <w:lang w:val="en-US" w:eastAsia="zh-CN"/>
        </w:rPr>
        <w:t>。</w:t>
      </w:r>
    </w:p>
    <w:p>
      <w:pPr>
        <w:pStyle w:val="4"/>
        <w:keepNext w:val="0"/>
        <w:keepLines w:val="0"/>
        <w:pageBreakBefore w:val="0"/>
        <w:widowControl w:val="0"/>
        <w:numPr>
          <w:ilvl w:val="-1"/>
          <w:numId w:val="0"/>
        </w:numPr>
        <w:kinsoku/>
        <w:wordWrap/>
        <w:overflowPunct/>
        <w:topLinePunct w:val="0"/>
        <w:autoSpaceDE/>
        <w:autoSpaceDN/>
        <w:bidi w:val="0"/>
        <w:spacing w:after="0" w:afterLines="0" w:line="58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1）基于柔性异形封装胶膜的高功率光伏组件达到：研制出可量产SMBB技术搭配细焊丝的低损焊接设备1台套、焊接拉力检测设备1台套，焊接拉力不低于1N/cm；焊接良率≥99.6%，组件良率≥99%；组件光电转换效率≥23.5%；组件可靠性满足IEC61215、IEC61730标准要求；（2）提出高速公路光伏储能供电系统协同运行系列关键技术，开发高速隧道光伏、储能、用电运行一体化平台；所研制一体化平台新能源的消纳率(光伏发电的利用率）达到95%以上，储能装置的利用效率达到98%以上，协同运行的稳定性达到99%以上，储能电池充放电响应时间≤200ms，储能装置出力偏差≤1%。实现示范应用或产业化。</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五、汽车</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1．汽车电子关键技术研究</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rPr>
        <w:t>主要开展车路云协同的智能数字化中央集成式电子电气架构、车联网监控大数据平台、复杂交通环境下人-车-环境耦合汽车主动声管理关键技术研发与应用。</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bCs/>
          <w:sz w:val="32"/>
          <w:szCs w:val="32"/>
        </w:rPr>
        <w:t>考核指标：</w:t>
      </w:r>
      <w:r>
        <w:rPr>
          <w:rFonts w:hint="default" w:ascii="Times New Roman" w:hAnsi="Times New Roman" w:eastAsia="仿宋_GB2312" w:cs="Times New Roman"/>
          <w:kern w:val="0"/>
          <w:sz w:val="32"/>
          <w:szCs w:val="32"/>
          <w:lang w:bidi="ar"/>
        </w:rPr>
        <w:t>（1）车路云协同的智能数字化中央集成式电子电气架构中央计算平台算力不低于28K DMIPS；通讯能力可以达到14TB/小时；软硬解耦的SOA架构，实现微服务≥20个；（2）研发用于</w:t>
      </w:r>
      <w:r>
        <w:rPr>
          <w:rFonts w:hint="default" w:ascii="Times New Roman" w:hAnsi="Times New Roman" w:eastAsia="仿宋_GB2312" w:cs="Times New Roman"/>
          <w:sz w:val="32"/>
          <w:szCs w:val="32"/>
        </w:rPr>
        <w:t>车联网监控大数据平台，具备元数据管理、车辆状态监控预警功能，平台支持每秒并行计算车辆规模≥500辆；并发请求每秒≥400次；请求成功率≥98%；车队属性及运行状态页面更新频率≥200辆/s；</w:t>
      </w:r>
      <w:r>
        <w:rPr>
          <w:rFonts w:hint="default" w:ascii="Times New Roman" w:hAnsi="Times New Roman" w:eastAsia="仿宋_GB2312" w:cs="Times New Roman"/>
          <w:kern w:val="0"/>
          <w:sz w:val="32"/>
          <w:szCs w:val="32"/>
          <w:lang w:bidi="ar"/>
        </w:rPr>
        <w:t>（3）</w:t>
      </w:r>
      <w:r>
        <w:rPr>
          <w:rFonts w:hint="default" w:ascii="Times New Roman" w:hAnsi="Times New Roman" w:eastAsia="仿宋_GB2312" w:cs="Times New Roman"/>
          <w:sz w:val="32"/>
          <w:szCs w:val="32"/>
        </w:rPr>
        <w:t>人-车-环境耦合的动态混响声场评价平台对真实交通环境的噪声复现程度≥90%（主要考核总声压级、1/3倍频程中心频率声压级、以及心理声学指标）</w:t>
      </w:r>
      <w:r>
        <w:rPr>
          <w:rFonts w:hint="default" w:ascii="Times New Roman" w:hAnsi="Times New Roman" w:eastAsia="仿宋_GB2312" w:cs="Times New Roman"/>
          <w:kern w:val="0"/>
          <w:sz w:val="32"/>
          <w:szCs w:val="32"/>
          <w:lang w:bidi="ar"/>
        </w:rPr>
        <w:t>。实现示范应用或产业化。</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2．汽车安全关键技术研究</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rPr>
        <w:t>主</w:t>
      </w:r>
      <w:r>
        <w:rPr>
          <w:rFonts w:hint="default" w:ascii="Times New Roman" w:hAnsi="Times New Roman" w:eastAsia="仿宋_GB2312" w:cs="Times New Roman"/>
          <w:kern w:val="0"/>
          <w:sz w:val="32"/>
          <w:szCs w:val="32"/>
          <w:lang w:bidi="ar"/>
        </w:rPr>
        <w:t>要开展纯电动新能源乘用车电池安全预警及消防快速处置、无人驾驶汽车自动紧急制动系统关键技术及装备研究等技术研究与开发应用。</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bCs/>
          <w:sz w:val="32"/>
          <w:szCs w:val="32"/>
        </w:rPr>
        <w:t>考核指标：</w:t>
      </w:r>
      <w:r>
        <w:rPr>
          <w:rFonts w:hint="default" w:ascii="Times New Roman" w:hAnsi="Times New Roman" w:eastAsia="仿宋_GB2312" w:cs="Times New Roman"/>
          <w:kern w:val="0"/>
          <w:sz w:val="32"/>
          <w:szCs w:val="32"/>
          <w:lang w:bidi="ar"/>
        </w:rPr>
        <w:t>（1）研发智能型纯电动乘用车健康安全决策服务平台1套，充电（充电时长大于20min）状态下渐变式故障提前8min事故预警准确率100%、瞬发型事故发生后报警准确率100%，研发成套组合式消防快速处置装置1套；（2）</w:t>
      </w:r>
      <w:r>
        <w:rPr>
          <w:rFonts w:hint="default" w:ascii="Times New Roman" w:hAnsi="Times New Roman" w:eastAsia="仿宋_GB2312" w:cs="Times New Roman"/>
          <w:sz w:val="32"/>
          <w:szCs w:val="32"/>
        </w:rPr>
        <w:t>研制开发超磁致伸缩式自动紧急制动系统1套，制动执行机构制动盘制动力≥2000N,行程≥0.3mm</w:t>
      </w:r>
      <w:r>
        <w:rPr>
          <w:rFonts w:hint="default" w:ascii="Times New Roman" w:hAnsi="Times New Roman" w:eastAsia="仿宋_GB2312" w:cs="Times New Roman"/>
          <w:kern w:val="0"/>
          <w:sz w:val="32"/>
          <w:szCs w:val="32"/>
          <w:lang w:bidi="ar"/>
        </w:rPr>
        <w:t>。实现示范应用或产业化。</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3．汽车智能驾驶</w:t>
      </w:r>
      <w:r>
        <w:rPr>
          <w:rFonts w:hint="default" w:ascii="Times New Roman" w:hAnsi="Times New Roman" w:eastAsia="仿宋_GB2312" w:cs="Times New Roman"/>
          <w:b/>
          <w:bCs/>
          <w:sz w:val="32"/>
          <w:szCs w:val="32"/>
          <w:lang w:eastAsia="zh-CN"/>
        </w:rPr>
        <w:t>关键</w:t>
      </w:r>
      <w:r>
        <w:rPr>
          <w:rFonts w:hint="default" w:ascii="Times New Roman" w:hAnsi="Times New Roman" w:eastAsia="仿宋_GB2312" w:cs="Times New Roman"/>
          <w:b/>
          <w:bCs/>
          <w:sz w:val="32"/>
          <w:szCs w:val="32"/>
        </w:rPr>
        <w:t>技术研究（青年科学家项目）</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rPr>
        <w:t>基于大算力SOC芯片域控制器的智能驾驶系统、基于5G技术的智慧养老社区无人驾驶技术</w:t>
      </w:r>
      <w:r>
        <w:rPr>
          <w:rFonts w:hint="default" w:ascii="Times New Roman" w:hAnsi="Times New Roman" w:eastAsia="仿宋_GB2312" w:cs="Times New Roman"/>
          <w:kern w:val="0"/>
          <w:sz w:val="32"/>
          <w:szCs w:val="32"/>
          <w:lang w:bidi="ar"/>
        </w:rPr>
        <w:t>、融合车辆动力学信息与北斗卫星定位的商用车自动驾驶等技术研究与开发应用。</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考核指标：</w:t>
      </w:r>
      <w:r>
        <w:rPr>
          <w:rFonts w:hint="default" w:ascii="Times New Roman" w:hAnsi="Times New Roman" w:eastAsia="仿宋_GB2312" w:cs="Times New Roman"/>
          <w:kern w:val="0"/>
          <w:sz w:val="32"/>
          <w:szCs w:val="32"/>
          <w:lang w:bidi="ar"/>
        </w:rPr>
        <w:t>（1）开发基于大算力SOC芯片的驾舱融合域控系统一套，其中智驾系统不低于L2+级，具备ACC、LKA、TJA、HWA、HPA、NGA等智驾功能，且智驾系统目标识别率不低于95%；车道线识别率不低于98%；泊车成功率不低于98%；定位精度不低于15cm；决策和轨迹规划周期≤100ms，成功率≥95%；横向跟踪误差小于15cm；（2）开发基于5G通讯的无人驾驶技术，目标检测精度≥95%；拟人决策和轨迹规划周期≤100ms，拟人决策和轨迹规划成功率≥95%。线控制动控制精度≤0.1MPa，线控转向角度精度＜1°；（3）开发融合车辆动力学信息与北斗卫星定位的精位姿估计与跟踪控制系统1套，有卫星信号时定位精度≤10cm，丢星时定位精度≤30cm，精度保持时间30s；轨迹跟踪误差≤15cm；纵向速度控制精度≤0.5m/s；转向精度≤1°</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bidi="ar"/>
        </w:rPr>
        <w:t>实现示范应用或产业化。</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4．整车制造与关键零部件技术研究</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rPr>
        <w:t>主要开展新能源汽车电驱系统数字开发关键技术研究、</w:t>
      </w:r>
      <w:r>
        <w:rPr>
          <w:rFonts w:hint="default" w:ascii="Times New Roman" w:hAnsi="Times New Roman" w:eastAsia="仿宋_GB2312" w:cs="Times New Roman"/>
          <w:kern w:val="0"/>
          <w:sz w:val="32"/>
          <w:szCs w:val="32"/>
          <w:lang w:bidi="ar"/>
        </w:rPr>
        <w:t>多域融合车辆</w:t>
      </w:r>
      <w:r>
        <w:rPr>
          <w:rFonts w:hint="default" w:ascii="Times New Roman" w:hAnsi="Times New Roman" w:eastAsia="仿宋_GB2312" w:cs="Times New Roman"/>
          <w:kern w:val="0"/>
          <w:sz w:val="32"/>
          <w:szCs w:val="32"/>
          <w:lang w:val="en-US" w:eastAsia="zh-CN" w:bidi="ar"/>
        </w:rPr>
        <w:t>域</w:t>
      </w:r>
      <w:r>
        <w:rPr>
          <w:rFonts w:hint="default" w:ascii="Times New Roman" w:hAnsi="Times New Roman" w:eastAsia="仿宋_GB2312" w:cs="Times New Roman"/>
          <w:kern w:val="0"/>
          <w:sz w:val="32"/>
          <w:szCs w:val="32"/>
          <w:lang w:bidi="ar"/>
        </w:rPr>
        <w:t>控制</w:t>
      </w:r>
      <w:r>
        <w:rPr>
          <w:rFonts w:hint="default" w:ascii="Times New Roman" w:hAnsi="Times New Roman" w:eastAsia="仿宋_GB2312" w:cs="Times New Roman"/>
          <w:kern w:val="0"/>
          <w:sz w:val="32"/>
          <w:szCs w:val="32"/>
          <w:lang w:val="en-US" w:eastAsia="zh-CN" w:bidi="ar"/>
        </w:rPr>
        <w:t>器、</w:t>
      </w:r>
      <w:r>
        <w:rPr>
          <w:rFonts w:hint="default" w:ascii="Times New Roman" w:hAnsi="Times New Roman" w:eastAsia="仿宋_GB2312" w:cs="Times New Roman"/>
          <w:sz w:val="32"/>
          <w:szCs w:val="32"/>
        </w:rPr>
        <w:t>可变刚度的汽车悬架空气弹簧、新能源汽车线控电子液压制动系统研发及产业化等技术研究与开发应用。</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b/>
          <w:bCs/>
          <w:sz w:val="32"/>
          <w:szCs w:val="32"/>
        </w:rPr>
        <w:t>考核指标：</w:t>
      </w:r>
      <w:r>
        <w:rPr>
          <w:rFonts w:hint="default" w:ascii="Times New Roman" w:hAnsi="Times New Roman" w:eastAsia="仿宋_GB2312" w:cs="Times New Roman"/>
          <w:kern w:val="0"/>
          <w:sz w:val="32"/>
          <w:szCs w:val="32"/>
          <w:lang w:bidi="ar"/>
        </w:rPr>
        <w:t>（1）研制新能源电驱系统2套以上；电机疲劳寿命＞60000次循环（GB/T 29307-2022）；50%负荷啸叫声压级＜36dB；</w:t>
      </w:r>
      <w:r>
        <w:rPr>
          <w:rFonts w:hint="default" w:ascii="Times New Roman" w:hAnsi="Times New Roman" w:eastAsia="仿宋_GB2312" w:cs="Times New Roman"/>
          <w:kern w:val="0"/>
          <w:sz w:val="32"/>
          <w:szCs w:val="32"/>
          <w:lang w:eastAsia="zh-CN" w:bidi="ar"/>
        </w:rPr>
        <w:t>电驱系统</w:t>
      </w:r>
      <w:r>
        <w:rPr>
          <w:rFonts w:hint="default" w:ascii="Times New Roman" w:hAnsi="Times New Roman" w:eastAsia="仿宋_GB2312" w:cs="Times New Roman"/>
          <w:kern w:val="0"/>
          <w:sz w:val="32"/>
          <w:szCs w:val="32"/>
          <w:lang w:bidi="ar"/>
        </w:rPr>
        <w:t>效率90%以上、85%效率区域占比85%以上</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val="en-US" w:eastAsia="zh-CN" w:bidi="ar"/>
        </w:rPr>
        <w:t>2</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转向响应时间≤100ms，转向轮角度超调量≤10%，稳态误差≤5%，驱动响应时间≤100ms、最大超调量≤10%、稳态误差≤10%，液压制动响应时间≤100ms、制动控制最大减速度≥8m/s</w:t>
      </w:r>
      <w:r>
        <w:rPr>
          <w:rFonts w:hint="default" w:ascii="Times New Roman" w:hAnsi="Times New Roman" w:eastAsia="仿宋_GB2312" w:cs="Times New Roman"/>
          <w:kern w:val="0"/>
          <w:sz w:val="32"/>
          <w:szCs w:val="32"/>
          <w:vertAlign w:val="superscript"/>
          <w:lang w:bidi="ar"/>
        </w:rPr>
        <w:t>2</w:t>
      </w:r>
      <w:r>
        <w:rPr>
          <w:rFonts w:hint="default" w:ascii="Times New Roman" w:hAnsi="Times New Roman" w:eastAsia="仿宋_GB2312" w:cs="Times New Roman"/>
          <w:kern w:val="0"/>
          <w:sz w:val="32"/>
          <w:szCs w:val="32"/>
          <w:lang w:bidi="ar"/>
        </w:rPr>
        <w:t>、稳态误差≤10%；并适配高级别智能驾驶车辆平台至少2款</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kern w:val="0"/>
          <w:sz w:val="32"/>
          <w:szCs w:val="32"/>
          <w:lang w:val="en-US" w:eastAsia="zh-CN" w:bidi="ar"/>
        </w:rPr>
        <w:t>3</w:t>
      </w:r>
      <w:r>
        <w:rPr>
          <w:rFonts w:hint="default" w:ascii="Times New Roman" w:hAnsi="Times New Roman" w:eastAsia="仿宋_GB2312" w:cs="Times New Roman"/>
          <w:kern w:val="0"/>
          <w:sz w:val="32"/>
          <w:szCs w:val="32"/>
          <w:lang w:bidi="ar"/>
        </w:rPr>
        <w:t>）橡胶气囊厚度≤3.5mm；橡胶气囊剥离力≥6000N/m；空气弹簧拉脱力≥1000N；空气弹簧承载重量≥500kg；新能源汽车空气悬架设计偏频变化处于1.0-1.6Hz；实现四级刚度可调，最大、最小刚度比≥1.5</w:t>
      </w:r>
      <w:r>
        <w:rPr>
          <w:rFonts w:hint="default" w:ascii="Times New Roman" w:hAnsi="Times New Roman" w:eastAsia="仿宋_GB2312" w:cs="Times New Roman"/>
          <w:kern w:val="0"/>
          <w:sz w:val="32"/>
          <w:szCs w:val="32"/>
          <w:lang w:eastAsia="zh-CN" w:bidi="ar"/>
        </w:rPr>
        <w:t>；适配车型</w:t>
      </w:r>
      <w:r>
        <w:rPr>
          <w:rFonts w:hint="default" w:ascii="Times New Roman" w:hAnsi="Times New Roman" w:eastAsia="仿宋_GB2312" w:cs="Times New Roman"/>
          <w:kern w:val="0"/>
          <w:sz w:val="32"/>
          <w:szCs w:val="32"/>
          <w:lang w:val="en-US" w:eastAsia="zh-CN" w:bidi="ar"/>
        </w:rPr>
        <w:t>1款以上；</w:t>
      </w: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kern w:val="0"/>
          <w:sz w:val="32"/>
          <w:szCs w:val="32"/>
          <w:lang w:val="en-US" w:eastAsia="zh-CN" w:bidi="ar"/>
        </w:rPr>
        <w:t>4</w:t>
      </w:r>
      <w:r>
        <w:rPr>
          <w:rFonts w:hint="default" w:ascii="Times New Roman" w:hAnsi="Times New Roman" w:eastAsia="仿宋_GB2312" w:cs="Times New Roman"/>
          <w:kern w:val="0"/>
          <w:sz w:val="32"/>
          <w:szCs w:val="32"/>
          <w:lang w:bidi="ar"/>
        </w:rPr>
        <w:t>）新能源汽车线控电子液压制动系统建压能力≥13MPa、液压力控制误差≤0.1MPa、响应时间≤150ms、耐久寿命≥33.5万次、满足车规级环境和EMC要求、重量≤6.0kg、噪声≤60dB；零部件气密性：1个标准大气压环境下，加压+100kPa,保持30s，压降不超过300Pa</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bidi="ar"/>
        </w:rPr>
        <w:t>实现示范应用或产业化。</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六、新一代信息技术</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35</w:t>
      </w:r>
      <w:r>
        <w:rPr>
          <w:rFonts w:hint="default" w:ascii="Times New Roman" w:hAnsi="Times New Roman" w:eastAsia="仿宋_GB2312" w:cs="Times New Roman"/>
          <w:b/>
          <w:bCs/>
          <w:sz w:val="32"/>
          <w:szCs w:val="32"/>
        </w:rPr>
        <w:t>．人工智能关键技术及应用研究</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rPr>
        <w:t>重点开展金融</w:t>
      </w:r>
      <w:r>
        <w:rPr>
          <w:rFonts w:hint="default" w:ascii="Times New Roman" w:hAnsi="Times New Roman" w:eastAsia="仿宋_GB2312" w:cs="Times New Roman"/>
          <w:sz w:val="32"/>
          <w:szCs w:val="32"/>
          <w:lang w:eastAsia="zh-CN"/>
        </w:rPr>
        <w:t>、电信、政务等</w:t>
      </w:r>
      <w:r>
        <w:rPr>
          <w:rFonts w:hint="default" w:ascii="Times New Roman" w:hAnsi="Times New Roman" w:eastAsia="仿宋_GB2312" w:cs="Times New Roman"/>
          <w:sz w:val="32"/>
          <w:szCs w:val="32"/>
        </w:rPr>
        <w:t>大数据风控领域的恶意应用分类检测和对抗防御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多模态融合生成式智能体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网络行为分析及威胁检测大模型等技术研究与开发应用。</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bCs/>
          <w:sz w:val="32"/>
          <w:szCs w:val="32"/>
        </w:rPr>
        <w:t>考核指标：</w:t>
      </w:r>
      <w:r>
        <w:rPr>
          <w:rFonts w:hint="default" w:ascii="Times New Roman" w:hAnsi="Times New Roman" w:eastAsia="仿宋_GB2312" w:cs="Times New Roman"/>
          <w:kern w:val="0"/>
          <w:sz w:val="32"/>
          <w:szCs w:val="32"/>
          <w:lang w:bidi="ar"/>
        </w:rPr>
        <w:t>（1）面向金融大数据风控的安全管控平台系统1套，提出面向不平衡学习的恶意应用家族分类检测方法、基于特征聚合与SNN的恶意应用检测方法以及基于真实性验证的恶意应用对抗防御方法；（2）</w:t>
      </w:r>
      <w:r>
        <w:rPr>
          <w:rFonts w:hint="default" w:ascii="Times New Roman" w:hAnsi="Times New Roman" w:eastAsia="仿宋_GB2312" w:cs="Times New Roman"/>
          <w:kern w:val="0"/>
          <w:sz w:val="32"/>
          <w:szCs w:val="32"/>
          <w:lang w:eastAsia="zh-CN" w:bidi="ar"/>
        </w:rPr>
        <w:t>行业特色</w:t>
      </w:r>
      <w:r>
        <w:rPr>
          <w:rFonts w:hint="default" w:ascii="Times New Roman" w:hAnsi="Times New Roman" w:eastAsia="仿宋_GB2312" w:cs="Times New Roman"/>
          <w:kern w:val="0"/>
          <w:sz w:val="32"/>
          <w:szCs w:val="32"/>
          <w:lang w:bidi="ar"/>
        </w:rPr>
        <w:t>智能体（数字人）的软件一套，数字人形象生成的人脸重建平均误差RMSE目标值在NoW benchmark上达到0.9；多模态交互音频、视频、文本转换为关节运动的Frechet Inception Distance（FID）为0.65，平均关节误差APE为0.8；（3）网络行为识别及网络威胁智能检测系统1套，智能识别能力覆盖网络入侵检测、恶意软件通信检测、加密流量识别等至少3个场景；在各场景的网络行为识别准确率≥90%，网络威胁检测漏报率不高于15%。实现示范应用或产业化。</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36</w:t>
      </w:r>
      <w:r>
        <w:rPr>
          <w:rFonts w:hint="default" w:ascii="Times New Roman" w:hAnsi="Times New Roman" w:eastAsia="仿宋_GB2312" w:cs="Times New Roman"/>
          <w:b/>
          <w:bCs/>
          <w:sz w:val="32"/>
          <w:szCs w:val="32"/>
        </w:rPr>
        <w:t>．LED芯片开发与应用技术研究</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rPr>
        <w:t>重点研究超高出光效率的红外LED芯片、无粉LED照明设计封装与应用、高亮度红光mini-LED以及一体化封装、LED照明光源的皮肤光疗等技术研究与开发应用。</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bCs/>
          <w:sz w:val="32"/>
          <w:szCs w:val="32"/>
        </w:rPr>
        <w:t>考核指标：</w:t>
      </w:r>
      <w:r>
        <w:rPr>
          <w:rFonts w:hint="default" w:ascii="Times New Roman" w:hAnsi="Times New Roman" w:eastAsia="仿宋_GB2312" w:cs="Times New Roman"/>
          <w:sz w:val="32"/>
          <w:szCs w:val="32"/>
        </w:rPr>
        <w:t>（1）超高效率近红外LED芯片峰值波长为850nm或940nm，42mil*42mil尺寸的近红外LED芯片封装后WPE转换效率达到65%，建成年产10万片4英寸晶圆的超高效近红外LED外延及芯片生产线；（2）开发4-8焊盘的LED支架能满足封装固晶焊线需求；使用该支架的无粉LED模块，在双85（85摄氏度，85%湿度）环境下点亮1000H光衰≤10%，色度均匀度达到90%以上，辐照度分布均匀度达到 90％以上；（3）mini-LED芯片新产品尺寸75μm~165μm，芯片厚度不超过90μm，发光波长619nm~625nm，工作电压1.8V~2.1V，在1mA~2mA的电流下，其发光亮度不低于25mcd；（4）研制皮肤衰老光疗设备1-2套、脱发光疗设备1-2套；在省内外知名三甲医院及皮肤专科医院进行LED光疗设备治疗方案推广应用不少于5家。</w:t>
      </w:r>
      <w:r>
        <w:rPr>
          <w:rFonts w:hint="default" w:ascii="Times New Roman" w:hAnsi="Times New Roman" w:eastAsia="仿宋_GB2312" w:cs="Times New Roman"/>
          <w:kern w:val="0"/>
          <w:sz w:val="32"/>
          <w:szCs w:val="32"/>
          <w:lang w:bidi="ar"/>
        </w:rPr>
        <w:t>实现示范应用或产业化。</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val="en-US" w:eastAsia="zh-CN"/>
        </w:rPr>
        <w:t>7</w:t>
      </w:r>
      <w:r>
        <w:rPr>
          <w:rFonts w:hint="default" w:ascii="Times New Roman" w:hAnsi="Times New Roman" w:eastAsia="仿宋_GB2312" w:cs="Times New Roman"/>
          <w:b/>
          <w:bCs/>
          <w:sz w:val="32"/>
          <w:szCs w:val="32"/>
        </w:rPr>
        <w:t>．新型传感器和毫米波雷达关键技术研究</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rPr>
        <w:t>重点开展基于人工表面等离激元的高性能毫米波太赫兹片上集成电路、智能交通毫米波雷达系统、</w:t>
      </w:r>
      <w:r>
        <w:rPr>
          <w:rFonts w:hint="default" w:ascii="Times New Roman" w:hAnsi="Times New Roman" w:eastAsia="仿宋_GB2312" w:cs="Times New Roman"/>
          <w:kern w:val="0"/>
          <w:sz w:val="32"/>
          <w:szCs w:val="32"/>
          <w:lang w:bidi="ar"/>
        </w:rPr>
        <w:t>微光夜视仪</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eastAsia="zh-CN"/>
        </w:rPr>
        <w:t>技术</w:t>
      </w:r>
      <w:r>
        <w:rPr>
          <w:rFonts w:hint="default" w:ascii="Times New Roman" w:hAnsi="Times New Roman" w:eastAsia="仿宋_GB2312" w:cs="Times New Roman"/>
          <w:sz w:val="32"/>
          <w:szCs w:val="32"/>
        </w:rPr>
        <w:t>研究与开发应用。</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b/>
          <w:bCs/>
          <w:sz w:val="32"/>
          <w:szCs w:val="32"/>
        </w:rPr>
        <w:t>考核指标：</w:t>
      </w:r>
      <w:r>
        <w:rPr>
          <w:rFonts w:hint="default" w:ascii="Times New Roman" w:hAnsi="Times New Roman" w:eastAsia="仿宋_GB2312" w:cs="Times New Roman"/>
          <w:sz w:val="32"/>
          <w:szCs w:val="32"/>
        </w:rPr>
        <w:t>（1）研制出一种6G移动通信的毫米波太赫兹前端芯片，阵列天线互耦≤-30dB，波束扫描范围≥120°；SSPP滤波器插入损耗≤2.0dB，带外抑制≥30dB，带宽（FBW）≥50%；（2）研制智能交通毫米波雷达系统1套，实现探测距离≥1100米，检测目标≥250个，实现检测率≥99%，识别率≥80%；（3）微光夜视仪与驾驶舱照明达到B类NVIS夜视兼容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物镜透过率满足B类夜视兼容要求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微光夜视仪与飞行头盔相兼容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尺寸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≤98mm(长)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122mm(宽)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89mm(高)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重量：夜视仪总重量≤503g，双筒夜视仪不大于386g。</w:t>
      </w:r>
      <w:r>
        <w:rPr>
          <w:rFonts w:hint="default" w:ascii="Times New Roman" w:hAnsi="Times New Roman" w:eastAsia="仿宋_GB2312" w:cs="Times New Roman"/>
          <w:kern w:val="0"/>
          <w:sz w:val="32"/>
          <w:szCs w:val="32"/>
          <w:lang w:bidi="ar"/>
        </w:rPr>
        <w:t>实现示范应用或产业化</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38</w:t>
      </w:r>
      <w:r>
        <w:rPr>
          <w:rFonts w:hint="default" w:ascii="Times New Roman" w:hAnsi="Times New Roman" w:eastAsia="仿宋_GB2312" w:cs="Times New Roman"/>
          <w:b/>
          <w:bCs/>
          <w:sz w:val="32"/>
          <w:szCs w:val="32"/>
        </w:rPr>
        <w:t>．能源物联网关键技术研究</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rPr>
        <w:t>主要开展基于物联网的智慧节能管理系统、变配电设备健康状态在线诊断及智能云平台设计等技术研究与开发应用。</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考核指标：</w:t>
      </w:r>
      <w:r>
        <w:rPr>
          <w:rFonts w:hint="default" w:ascii="Times New Roman" w:hAnsi="Times New Roman" w:eastAsia="仿宋_GB2312" w:cs="Times New Roman"/>
          <w:kern w:val="0"/>
          <w:sz w:val="32"/>
          <w:szCs w:val="32"/>
          <w:lang w:bidi="ar"/>
        </w:rPr>
        <w:t>（1）电力行业智慧节能管理系统1套，节能效率提高10%以上；感知节点数量不少于50个，智能边缘网关不少于5个；实现泛在感知，节能感知节点不少于100个；降低系统控制区域10%的能源消耗；（2）开发多传感融合变配电设备智能检测装备1套，智能分析算法与云平台1套，变配电设备故障识别率≥9</w:t>
      </w:r>
      <w:r>
        <w:rPr>
          <w:rFonts w:hint="default" w:ascii="Times New Roman" w:hAnsi="Times New Roman" w:eastAsia="仿宋_GB2312" w:cs="Times New Roman"/>
          <w:kern w:val="0"/>
          <w:sz w:val="32"/>
          <w:szCs w:val="32"/>
          <w:lang w:val="en-US" w:eastAsia="zh-CN" w:bidi="ar"/>
        </w:rPr>
        <w:t>8</w:t>
      </w:r>
      <w:r>
        <w:rPr>
          <w:rFonts w:hint="default" w:ascii="Times New Roman" w:hAnsi="Times New Roman" w:eastAsia="仿宋_GB2312" w:cs="Times New Roman"/>
          <w:kern w:val="0"/>
          <w:sz w:val="32"/>
          <w:szCs w:val="32"/>
          <w:lang w:bidi="ar"/>
        </w:rPr>
        <w:t>%，放电点定位精度≤±3cm。</w:t>
      </w:r>
      <w:r>
        <w:rPr>
          <w:rFonts w:hint="default" w:ascii="Times New Roman" w:hAnsi="Times New Roman" w:eastAsia="仿宋_GB2312" w:cs="Times New Roman"/>
          <w:sz w:val="32"/>
          <w:szCs w:val="32"/>
        </w:rPr>
        <w:t>实现示范应用或产业化。</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39</w:t>
      </w:r>
      <w:r>
        <w:rPr>
          <w:rFonts w:hint="default" w:ascii="Times New Roman" w:hAnsi="Times New Roman" w:eastAsia="仿宋_GB2312" w:cs="Times New Roman"/>
          <w:b/>
          <w:bCs/>
          <w:sz w:val="32"/>
          <w:szCs w:val="32"/>
        </w:rPr>
        <w:t>．北斗+多源数据融合关键技术研究（青年科学家项目）</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rPr>
        <w:t>主要开展面向典型行业应用的“北斗+遥感”融合的数字治理应用平台、北斗高精度导航定位关键技术及终端等技术研究与开发应用。</w:t>
      </w:r>
    </w:p>
    <w:p>
      <w:pPr>
        <w:pStyle w:val="7"/>
        <w:keepNext w:val="0"/>
        <w:keepLines w:val="0"/>
        <w:pageBreakBefore w:val="0"/>
        <w:widowControl w:val="0"/>
        <w:kinsoku/>
        <w:wordWrap/>
        <w:overflowPunct/>
        <w:topLinePunct w:val="0"/>
        <w:autoSpaceDE/>
        <w:autoSpaceDN/>
        <w:bidi w:val="0"/>
        <w:spacing w:line="58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考核指标：</w:t>
      </w:r>
      <w:r>
        <w:rPr>
          <w:rFonts w:hint="default" w:ascii="Times New Roman" w:hAnsi="Times New Roman" w:eastAsia="仿宋_GB2312" w:cs="Times New Roman"/>
          <w:kern w:val="0"/>
          <w:sz w:val="32"/>
          <w:szCs w:val="32"/>
          <w:lang w:bidi="ar"/>
        </w:rPr>
        <w:t>（1）开发数字乡村综合管理平台1套，平台监测识别火点准确率不低于</w:t>
      </w:r>
      <w:r>
        <w:rPr>
          <w:rFonts w:hint="default" w:ascii="Times New Roman" w:hAnsi="Times New Roman" w:eastAsia="仿宋_GB2312" w:cs="Times New Roman"/>
          <w:kern w:val="0"/>
          <w:sz w:val="32"/>
          <w:szCs w:val="32"/>
          <w:lang w:val="en-US" w:eastAsia="zh-CN" w:bidi="ar"/>
        </w:rPr>
        <w:t>9</w:t>
      </w:r>
      <w:r>
        <w:rPr>
          <w:rFonts w:hint="default" w:ascii="Times New Roman" w:hAnsi="Times New Roman" w:eastAsia="仿宋_GB2312" w:cs="Times New Roman"/>
          <w:kern w:val="0"/>
          <w:sz w:val="32"/>
          <w:szCs w:val="32"/>
          <w:lang w:bidi="ar"/>
        </w:rPr>
        <w:t>0%，平台对农作物长势监测准确率不低于</w:t>
      </w:r>
      <w:r>
        <w:rPr>
          <w:rFonts w:hint="default" w:ascii="Times New Roman" w:hAnsi="Times New Roman" w:eastAsia="仿宋_GB2312" w:cs="Times New Roman"/>
          <w:kern w:val="0"/>
          <w:sz w:val="32"/>
          <w:szCs w:val="32"/>
          <w:lang w:val="en-US" w:eastAsia="zh-CN" w:bidi="ar"/>
        </w:rPr>
        <w:t>8</w:t>
      </w:r>
      <w:r>
        <w:rPr>
          <w:rFonts w:hint="default" w:ascii="Times New Roman" w:hAnsi="Times New Roman" w:eastAsia="仿宋_GB2312" w:cs="Times New Roman"/>
          <w:kern w:val="0"/>
          <w:sz w:val="32"/>
          <w:szCs w:val="32"/>
          <w:lang w:bidi="ar"/>
        </w:rPr>
        <w:t>0%，对农作物种类、面积、分布情况监测准确率不低于</w:t>
      </w:r>
      <w:r>
        <w:rPr>
          <w:rFonts w:hint="default" w:ascii="Times New Roman" w:hAnsi="Times New Roman" w:eastAsia="仿宋_GB2312" w:cs="Times New Roman"/>
          <w:kern w:val="0"/>
          <w:sz w:val="32"/>
          <w:szCs w:val="32"/>
          <w:lang w:val="en-US" w:eastAsia="zh-CN" w:bidi="ar"/>
        </w:rPr>
        <w:t>9</w:t>
      </w:r>
      <w:r>
        <w:rPr>
          <w:rFonts w:hint="default" w:ascii="Times New Roman" w:hAnsi="Times New Roman" w:eastAsia="仿宋_GB2312" w:cs="Times New Roman"/>
          <w:kern w:val="0"/>
          <w:sz w:val="32"/>
          <w:szCs w:val="32"/>
          <w:lang w:bidi="ar"/>
        </w:rPr>
        <w:t>0%；（2）研制国产智能化超轻小北斗/GNSS高精度终端产品、超轻小北斗/GNSS高精度空气型全频段天线，实现北斗高精度导航定位动态达到分米级（10-20 cm）精度。</w:t>
      </w:r>
      <w:r>
        <w:rPr>
          <w:rFonts w:hint="default" w:ascii="Times New Roman" w:hAnsi="Times New Roman" w:eastAsia="仿宋_GB2312" w:cs="Times New Roman"/>
          <w:sz w:val="32"/>
          <w:szCs w:val="32"/>
        </w:rPr>
        <w:t>实现示范应用或产业化</w:t>
      </w:r>
      <w:r>
        <w:rPr>
          <w:rFonts w:hint="default" w:ascii="Times New Roman" w:hAnsi="Times New Roman" w:eastAsia="仿宋_GB2312" w:cs="Times New Roman"/>
          <w:kern w:val="0"/>
          <w:sz w:val="32"/>
          <w:szCs w:val="32"/>
          <w:lang w:bidi="ar"/>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40</w:t>
      </w:r>
      <w:r>
        <w:rPr>
          <w:rFonts w:hint="default" w:ascii="Times New Roman" w:hAnsi="Times New Roman" w:eastAsia="仿宋_GB2312" w:cs="Times New Roman"/>
          <w:b/>
          <w:bCs/>
          <w:sz w:val="32"/>
          <w:szCs w:val="32"/>
        </w:rPr>
        <w:t>．智慧交通关键技术研究</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rPr>
        <w:t>主要开展隧道爆破施工智能操控系统及围岩灾害风险防控、全息路口精细感知与交通智能调控等技术研究与开发应用。</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bCs/>
          <w:sz w:val="32"/>
          <w:szCs w:val="32"/>
        </w:rPr>
        <w:t>考核指标：</w:t>
      </w:r>
      <w:r>
        <w:rPr>
          <w:rFonts w:hint="default" w:ascii="Times New Roman" w:hAnsi="Times New Roman" w:eastAsia="仿宋_GB2312" w:cs="Times New Roman"/>
          <w:kern w:val="0"/>
          <w:sz w:val="32"/>
          <w:szCs w:val="32"/>
          <w:lang w:bidi="ar"/>
        </w:rPr>
        <w:t>（1）开发基于数字孪生+大数据融合的隧道围岩等级智能识别、三维重构及动态更新系统1套，开发隧道爆破智能施工系列装备1套，配备一体化智能操控系统1套；建立围岩灾害综合预警平台，围岩灾害预警准确率不低于8</w:t>
      </w:r>
      <w:r>
        <w:rPr>
          <w:rFonts w:hint="default" w:ascii="Times New Roman" w:hAnsi="Times New Roman" w:eastAsia="仿宋_GB2312" w:cs="Times New Roman"/>
          <w:kern w:val="0"/>
          <w:sz w:val="32"/>
          <w:szCs w:val="32"/>
          <w:lang w:val="en-US" w:eastAsia="zh-CN" w:bidi="ar"/>
        </w:rPr>
        <w:t>5</w:t>
      </w:r>
      <w:r>
        <w:rPr>
          <w:rFonts w:hint="default" w:ascii="Times New Roman" w:hAnsi="Times New Roman" w:eastAsia="仿宋_GB2312" w:cs="Times New Roman"/>
          <w:kern w:val="0"/>
          <w:sz w:val="32"/>
          <w:szCs w:val="32"/>
          <w:lang w:bidi="ar"/>
        </w:rPr>
        <w:t>%；（2）研制多模态路口场景观测装备1套；跨模态移动目标提取与跟踪装备一套；全息智慧路口系统软件一套；路口语义分割精度不低于9</w:t>
      </w:r>
      <w:r>
        <w:rPr>
          <w:rFonts w:hint="default" w:ascii="Times New Roman" w:hAnsi="Times New Roman" w:eastAsia="仿宋_GB2312" w:cs="Times New Roman"/>
          <w:kern w:val="0"/>
          <w:sz w:val="32"/>
          <w:szCs w:val="32"/>
          <w:lang w:val="en-US" w:eastAsia="zh-CN" w:bidi="ar"/>
        </w:rPr>
        <w:t>5</w:t>
      </w:r>
      <w:r>
        <w:rPr>
          <w:rFonts w:hint="default" w:ascii="Times New Roman" w:hAnsi="Times New Roman" w:eastAsia="仿宋_GB2312" w:cs="Times New Roman"/>
          <w:kern w:val="0"/>
          <w:sz w:val="32"/>
          <w:szCs w:val="32"/>
          <w:lang w:bidi="ar"/>
        </w:rPr>
        <w:t>%，实例分割精度不低于7</w:t>
      </w:r>
      <w:r>
        <w:rPr>
          <w:rFonts w:hint="default" w:ascii="Times New Roman" w:hAnsi="Times New Roman" w:eastAsia="仿宋_GB2312" w:cs="Times New Roman"/>
          <w:kern w:val="0"/>
          <w:sz w:val="32"/>
          <w:szCs w:val="32"/>
          <w:lang w:val="en-US" w:eastAsia="zh-CN" w:bidi="ar"/>
        </w:rPr>
        <w:t>5</w:t>
      </w:r>
      <w:r>
        <w:rPr>
          <w:rFonts w:hint="default" w:ascii="Times New Roman" w:hAnsi="Times New Roman" w:eastAsia="仿宋_GB2312" w:cs="Times New Roman"/>
          <w:kern w:val="0"/>
          <w:sz w:val="32"/>
          <w:szCs w:val="32"/>
          <w:lang w:bidi="ar"/>
        </w:rPr>
        <w:t>%；目标跟踪正确率不低于8</w:t>
      </w:r>
      <w:r>
        <w:rPr>
          <w:rFonts w:hint="default" w:ascii="Times New Roman" w:hAnsi="Times New Roman" w:eastAsia="仿宋_GB2312" w:cs="Times New Roman"/>
          <w:kern w:val="0"/>
          <w:sz w:val="32"/>
          <w:szCs w:val="32"/>
          <w:lang w:val="en-US" w:eastAsia="zh-CN" w:bidi="ar"/>
        </w:rPr>
        <w:t>5</w:t>
      </w:r>
      <w:r>
        <w:rPr>
          <w:rFonts w:hint="default" w:ascii="Times New Roman" w:hAnsi="Times New Roman" w:eastAsia="仿宋_GB2312" w:cs="Times New Roman"/>
          <w:kern w:val="0"/>
          <w:sz w:val="32"/>
          <w:szCs w:val="32"/>
          <w:lang w:bidi="ar"/>
        </w:rPr>
        <w:t>%；智慧交通路口示范应用1项。</w:t>
      </w:r>
      <w:r>
        <w:rPr>
          <w:rFonts w:hint="default" w:ascii="Times New Roman" w:hAnsi="Times New Roman" w:eastAsia="仿宋_GB2312" w:cs="Times New Roman"/>
          <w:sz w:val="32"/>
          <w:szCs w:val="32"/>
        </w:rPr>
        <w:t>实现示范应用或产业化</w:t>
      </w:r>
      <w:r>
        <w:rPr>
          <w:rFonts w:hint="default" w:ascii="Times New Roman" w:hAnsi="Times New Roman" w:eastAsia="仿宋_GB2312" w:cs="Times New Roman"/>
          <w:kern w:val="0"/>
          <w:sz w:val="32"/>
          <w:szCs w:val="32"/>
          <w:lang w:bidi="ar"/>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41</w:t>
      </w:r>
      <w:r>
        <w:rPr>
          <w:rFonts w:hint="default" w:ascii="Times New Roman" w:hAnsi="Times New Roman" w:eastAsia="仿宋_GB2312" w:cs="Times New Roman"/>
          <w:b/>
          <w:bCs/>
          <w:sz w:val="32"/>
          <w:szCs w:val="32"/>
        </w:rPr>
        <w:t>．算力联网调度关键技术研究</w:t>
      </w:r>
    </w:p>
    <w:p>
      <w:pPr>
        <w:pStyle w:val="7"/>
        <w:keepNext w:val="0"/>
        <w:keepLines w:val="0"/>
        <w:pageBreakBefore w:val="0"/>
        <w:widowControl w:val="0"/>
        <w:kinsoku/>
        <w:wordWrap/>
        <w:overflowPunct/>
        <w:topLinePunct w:val="0"/>
        <w:autoSpaceDE/>
        <w:autoSpaceDN/>
        <w:bidi w:val="0"/>
        <w:spacing w:line="58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bCs/>
          <w:kern w:val="0"/>
          <w:sz w:val="32"/>
          <w:szCs w:val="32"/>
          <w:lang w:bidi="ar"/>
        </w:rPr>
        <w:t>研究内容：</w:t>
      </w:r>
      <w:r>
        <w:rPr>
          <w:rFonts w:hint="default" w:ascii="Times New Roman" w:hAnsi="Times New Roman" w:eastAsia="仿宋_GB2312" w:cs="Times New Roman"/>
          <w:kern w:val="0"/>
          <w:sz w:val="32"/>
          <w:szCs w:val="32"/>
          <w:lang w:bidi="ar"/>
        </w:rPr>
        <w:t>重点开展多元异构算力资源网络互联互通及管理调度技术研究与开发应用。</w:t>
      </w:r>
    </w:p>
    <w:p>
      <w:pPr>
        <w:pStyle w:val="7"/>
        <w:keepNext w:val="0"/>
        <w:keepLines w:val="0"/>
        <w:pageBreakBefore w:val="0"/>
        <w:widowControl w:val="0"/>
        <w:kinsoku/>
        <w:wordWrap/>
        <w:overflowPunct/>
        <w:topLinePunct w:val="0"/>
        <w:autoSpaceDE/>
        <w:autoSpaceDN/>
        <w:bidi w:val="0"/>
        <w:spacing w:line="580" w:lineRule="exact"/>
        <w:ind w:firstLine="640"/>
        <w:jc w:val="both"/>
        <w:textAlignment w:val="auto"/>
        <w:rPr>
          <w:rFonts w:hint="default" w:ascii="Times New Roman" w:hAnsi="Times New Roman" w:cs="Times New Roman"/>
          <w:sz w:val="32"/>
          <w:szCs w:val="32"/>
        </w:rPr>
      </w:pPr>
      <w:r>
        <w:rPr>
          <w:rFonts w:hint="default" w:ascii="Times New Roman" w:hAnsi="Times New Roman" w:eastAsia="仿宋_GB2312" w:cs="Times New Roman"/>
          <w:b/>
          <w:bCs/>
          <w:kern w:val="0"/>
          <w:sz w:val="32"/>
          <w:szCs w:val="32"/>
          <w:lang w:bidi="ar"/>
        </w:rPr>
        <w:t>考核指标：</w:t>
      </w:r>
      <w:r>
        <w:rPr>
          <w:rFonts w:hint="default" w:ascii="Times New Roman" w:hAnsi="Times New Roman" w:eastAsia="仿宋_GB2312" w:cs="Times New Roman"/>
          <w:kern w:val="0"/>
          <w:sz w:val="32"/>
          <w:szCs w:val="32"/>
          <w:lang w:bidi="ar"/>
        </w:rPr>
        <w:t>建设融合多元异构算力资源互联互通网络</w:t>
      </w:r>
      <w:r>
        <w:rPr>
          <w:rFonts w:hint="default" w:ascii="Times New Roman" w:hAnsi="Times New Roman" w:eastAsia="仿宋_GB2312" w:cs="Times New Roman"/>
          <w:kern w:val="0"/>
          <w:sz w:val="32"/>
          <w:szCs w:val="32"/>
          <w:lang w:eastAsia="zh-CN" w:bidi="ar"/>
        </w:rPr>
        <w:t>及融合调度</w:t>
      </w:r>
      <w:r>
        <w:rPr>
          <w:rFonts w:hint="default" w:ascii="Times New Roman" w:hAnsi="Times New Roman" w:eastAsia="仿宋_GB2312" w:cs="Times New Roman"/>
          <w:kern w:val="0"/>
          <w:sz w:val="32"/>
          <w:szCs w:val="32"/>
          <w:lang w:bidi="ar"/>
        </w:rPr>
        <w:t>系统1套，支持异地异构计算、存储、网络、应用等资源的统一抽象及管理，支持全局调度算力种类≥3种</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存储类型≥3种，提出算力资源度量感知方法1套，跨域算力资源通信时延百公里≤1ms，算力网络接入算力资源≥10Pflop；实现按需部署和统一管理应用软件≥20种。</w:t>
      </w:r>
      <w:r>
        <w:rPr>
          <w:rFonts w:hint="default" w:ascii="Times New Roman" w:hAnsi="Times New Roman" w:eastAsia="仿宋_GB2312" w:cs="Times New Roman"/>
          <w:sz w:val="32"/>
          <w:szCs w:val="32"/>
        </w:rPr>
        <w:t>实现示范应用或产业化</w:t>
      </w:r>
      <w:r>
        <w:rPr>
          <w:rFonts w:hint="default" w:ascii="Times New Roman" w:hAnsi="Times New Roman" w:eastAsia="仿宋_GB2312" w:cs="Times New Roman"/>
          <w:kern w:val="0"/>
          <w:sz w:val="32"/>
          <w:szCs w:val="32"/>
          <w:lang w:bidi="ar"/>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七、现代服务</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42</w:t>
      </w:r>
      <w:r>
        <w:rPr>
          <w:rFonts w:hint="default" w:ascii="Times New Roman" w:hAnsi="Times New Roman" w:eastAsia="仿宋_GB2312" w:cs="Times New Roman"/>
          <w:b/>
          <w:bCs/>
          <w:sz w:val="32"/>
          <w:szCs w:val="32"/>
        </w:rPr>
        <w:t>．智慧医疗服务关键技术研究</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rPr>
        <w:t>重点开展基于人工智能的医疗影像无损压缩、基于超声-病理人工智能技术的高风险器官肿瘤精准诊断、VR与人工智能技术在胰腺炎的临床管理及风险预测、基于人工智能和高通量筛选的</w:t>
      </w:r>
      <w:r>
        <w:rPr>
          <w:rFonts w:hint="default" w:ascii="Times New Roman" w:hAnsi="Times New Roman" w:eastAsia="仿宋_GB2312" w:cs="Times New Roman"/>
          <w:sz w:val="32"/>
          <w:szCs w:val="32"/>
          <w:lang w:val="en-US"/>
        </w:rPr>
        <w:t>癌症</w:t>
      </w:r>
      <w:r>
        <w:rPr>
          <w:rFonts w:hint="default" w:ascii="Times New Roman" w:hAnsi="Times New Roman" w:eastAsia="仿宋_GB2312" w:cs="Times New Roman"/>
          <w:sz w:val="32"/>
          <w:szCs w:val="32"/>
        </w:rPr>
        <w:t>治疗等技术研究与开发应用。</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bCs/>
          <w:sz w:val="32"/>
          <w:szCs w:val="32"/>
        </w:rPr>
        <w:t>考核指标：</w:t>
      </w:r>
      <w:r>
        <w:rPr>
          <w:rFonts w:hint="default" w:ascii="Times New Roman" w:hAnsi="Times New Roman" w:eastAsia="仿宋_GB2312" w:cs="Times New Roman"/>
          <w:kern w:val="0"/>
          <w:sz w:val="32"/>
          <w:szCs w:val="32"/>
          <w:lang w:bidi="ar"/>
        </w:rPr>
        <w:t>（1）建立基于人工智能的医疗影像云服务平台软件1套，文件完全无损压缩比≤30%，视觉完全无损压缩比≤10%，文件压缩质量：SSIM=1，压缩速度：压缩速度和解压缩速度较JPEG 2000和JPEG无损快40%；（2）建立基于超声及病理多组学人工智能甄别高危肿瘤的模型1套；建立基于超声及病理多组学人工智能预测高危肿瘤复发风险模型1套；建立基于病理和超声图像的预测高危浅表肿瘤术后复发风险的深度学习算法人工智能模型1套；研发超声—病理组学+深度学习的融合生物学标志物精准预测高危肿瘤术后复发风险预警平台1套并至少在5-10家医疗机构推广应用；（3）开发胰腺炎健康管理系统与复发风险预测模型1套，预测模型的精准率与AUC值≥85%，VR+AI数字医生具备提供健康管理与随访互动，单体真实感动作仿真≥30FPS，内存峰值≤1G；（4）阐明早期发病及免疫治疗关键生物标志物1-3个，建立基于常规治疗和免疫治疗的口腔癌疗效预测体系1个，研发并验证</w:t>
      </w:r>
      <w:r>
        <w:rPr>
          <w:rFonts w:hint="default" w:ascii="Times New Roman" w:hAnsi="Times New Roman" w:eastAsia="仿宋_GB2312" w:cs="Times New Roman"/>
          <w:kern w:val="0"/>
          <w:sz w:val="32"/>
          <w:szCs w:val="32"/>
          <w:lang w:val="en-US" w:bidi="ar"/>
        </w:rPr>
        <w:t>癌症</w:t>
      </w:r>
      <w:r>
        <w:rPr>
          <w:rFonts w:hint="default" w:ascii="Times New Roman" w:hAnsi="Times New Roman" w:eastAsia="仿宋_GB2312" w:cs="Times New Roman"/>
          <w:kern w:val="0"/>
          <w:sz w:val="32"/>
          <w:szCs w:val="32"/>
          <w:lang w:bidi="ar"/>
        </w:rPr>
        <w:t>早期筛查的精准诊断方法1项。</w:t>
      </w:r>
      <w:r>
        <w:rPr>
          <w:rFonts w:hint="default" w:ascii="Times New Roman" w:hAnsi="Times New Roman" w:eastAsia="仿宋_GB2312" w:cs="Times New Roman"/>
          <w:sz w:val="32"/>
          <w:szCs w:val="32"/>
        </w:rPr>
        <w:t>实现示范应用或产业化</w:t>
      </w:r>
      <w:r>
        <w:rPr>
          <w:rFonts w:hint="default" w:ascii="Times New Roman" w:hAnsi="Times New Roman" w:eastAsia="仿宋_GB2312" w:cs="Times New Roman"/>
          <w:kern w:val="0"/>
          <w:sz w:val="32"/>
          <w:szCs w:val="32"/>
          <w:lang w:bidi="ar"/>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43</w:t>
      </w:r>
      <w:r>
        <w:rPr>
          <w:rFonts w:hint="default" w:ascii="Times New Roman" w:hAnsi="Times New Roman" w:eastAsia="仿宋_GB2312" w:cs="Times New Roman"/>
          <w:b/>
          <w:bCs/>
          <w:sz w:val="32"/>
          <w:szCs w:val="32"/>
        </w:rPr>
        <w:t>．文化创意软件</w:t>
      </w:r>
      <w:r>
        <w:rPr>
          <w:rFonts w:hint="default" w:ascii="Times New Roman" w:hAnsi="Times New Roman" w:eastAsia="仿宋_GB2312" w:cs="Times New Roman"/>
          <w:b/>
          <w:bCs/>
          <w:sz w:val="32"/>
          <w:szCs w:val="32"/>
          <w:lang w:eastAsia="zh-CN"/>
        </w:rPr>
        <w:t>关键技术</w:t>
      </w:r>
      <w:r>
        <w:rPr>
          <w:rFonts w:hint="default" w:ascii="Times New Roman" w:hAnsi="Times New Roman" w:eastAsia="仿宋_GB2312" w:cs="Times New Roman"/>
          <w:b/>
          <w:bCs/>
          <w:sz w:val="32"/>
          <w:szCs w:val="32"/>
        </w:rPr>
        <w:t>研究</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kern w:val="0"/>
          <w:sz w:val="32"/>
          <w:szCs w:val="32"/>
          <w:lang w:bidi="ar"/>
        </w:rPr>
        <w:t>重点开展陶瓷产品</w:t>
      </w:r>
      <w:r>
        <w:rPr>
          <w:rFonts w:hint="default" w:ascii="Times New Roman" w:hAnsi="Times New Roman" w:eastAsia="仿宋_GB2312" w:cs="Times New Roman"/>
          <w:kern w:val="0"/>
          <w:sz w:val="32"/>
          <w:szCs w:val="32"/>
          <w:lang w:eastAsia="zh-CN" w:bidi="ar"/>
        </w:rPr>
        <w:t>云端协同</w:t>
      </w:r>
      <w:r>
        <w:rPr>
          <w:rFonts w:hint="default" w:ascii="Times New Roman" w:hAnsi="Times New Roman" w:eastAsia="仿宋_GB2312" w:cs="Times New Roman"/>
          <w:kern w:val="0"/>
          <w:sz w:val="32"/>
          <w:szCs w:val="32"/>
          <w:lang w:bidi="ar"/>
        </w:rPr>
        <w:t>工业设计软件、</w:t>
      </w:r>
      <w:r>
        <w:rPr>
          <w:rFonts w:hint="default" w:ascii="Times New Roman" w:hAnsi="Times New Roman" w:eastAsia="仿宋_GB2312" w:cs="Times New Roman"/>
          <w:kern w:val="0"/>
          <w:sz w:val="32"/>
          <w:szCs w:val="32"/>
          <w:lang w:eastAsia="zh-CN" w:bidi="ar"/>
        </w:rPr>
        <w:t>基于</w:t>
      </w:r>
      <w:r>
        <w:rPr>
          <w:rFonts w:hint="default" w:ascii="Times New Roman" w:hAnsi="Times New Roman" w:eastAsia="仿宋_GB2312" w:cs="Times New Roman"/>
          <w:kern w:val="0"/>
          <w:sz w:val="32"/>
          <w:szCs w:val="32"/>
          <w:lang w:bidi="ar"/>
        </w:rPr>
        <w:t>生成式AI</w:t>
      </w:r>
      <w:r>
        <w:rPr>
          <w:rFonts w:hint="default" w:ascii="Times New Roman" w:hAnsi="Times New Roman" w:eastAsia="仿宋_GB2312" w:cs="Times New Roman"/>
          <w:kern w:val="0"/>
          <w:sz w:val="32"/>
          <w:szCs w:val="32"/>
          <w:lang w:eastAsia="zh-CN" w:bidi="ar"/>
        </w:rPr>
        <w:t>的</w:t>
      </w:r>
      <w:r>
        <w:rPr>
          <w:rFonts w:hint="default" w:ascii="Times New Roman" w:hAnsi="Times New Roman" w:eastAsia="仿宋_GB2312" w:cs="Times New Roman"/>
          <w:kern w:val="0"/>
          <w:sz w:val="32"/>
          <w:szCs w:val="32"/>
          <w:lang w:bidi="ar"/>
        </w:rPr>
        <w:t>器物文创产品设计的智能系统</w:t>
      </w:r>
      <w:r>
        <w:rPr>
          <w:rFonts w:hint="default" w:ascii="Times New Roman" w:hAnsi="Times New Roman" w:eastAsia="仿宋_GB2312" w:cs="Times New Roman"/>
          <w:sz w:val="32"/>
          <w:szCs w:val="32"/>
        </w:rPr>
        <w:t>等技术研究与开发应用</w:t>
      </w:r>
      <w:r>
        <w:rPr>
          <w:rFonts w:hint="default" w:ascii="Times New Roman" w:hAnsi="Times New Roman" w:eastAsia="仿宋_GB2312" w:cs="Times New Roman"/>
          <w:kern w:val="0"/>
          <w:sz w:val="32"/>
          <w:szCs w:val="32"/>
          <w:lang w:bidi="ar"/>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仿宋_GB2312" w:cs="Times New Roman"/>
          <w:b/>
          <w:bCs/>
          <w:sz w:val="32"/>
          <w:szCs w:val="32"/>
        </w:rPr>
        <w:t>考核指标：</w:t>
      </w:r>
      <w:r>
        <w:rPr>
          <w:rFonts w:hint="default" w:ascii="Times New Roman" w:hAnsi="Times New Roman" w:eastAsia="仿宋_GB2312" w:cs="Times New Roman"/>
          <w:kern w:val="0"/>
          <w:sz w:val="32"/>
          <w:szCs w:val="32"/>
          <w:lang w:bidi="ar"/>
        </w:rPr>
        <w:t>（1）开发陶瓷产品云端协同工业设计软件1套，用户个性化定制小程序1套，产品文化赋能小程序1套，实现</w:t>
      </w:r>
      <w:r>
        <w:rPr>
          <w:rFonts w:hint="default" w:ascii="Times New Roman" w:hAnsi="Times New Roman" w:eastAsia="仿宋_GB2312" w:cs="Times New Roman"/>
          <w:kern w:val="0"/>
          <w:sz w:val="32"/>
          <w:szCs w:val="32"/>
          <w:lang w:eastAsia="zh-CN" w:bidi="ar"/>
        </w:rPr>
        <w:t>不低于</w:t>
      </w:r>
      <w:r>
        <w:rPr>
          <w:rFonts w:hint="default" w:ascii="Times New Roman" w:hAnsi="Times New Roman" w:eastAsia="仿宋_GB2312" w:cs="Times New Roman"/>
          <w:kern w:val="0"/>
          <w:sz w:val="32"/>
          <w:szCs w:val="32"/>
          <w:lang w:val="en-US" w:eastAsia="zh-CN" w:bidi="ar"/>
        </w:rPr>
        <w:t>10家企业的</w:t>
      </w:r>
      <w:r>
        <w:rPr>
          <w:rFonts w:hint="default" w:ascii="Times New Roman" w:hAnsi="Times New Roman" w:eastAsia="仿宋_GB2312" w:cs="Times New Roman"/>
          <w:kern w:val="0"/>
          <w:sz w:val="32"/>
          <w:szCs w:val="32"/>
          <w:lang w:bidi="ar"/>
        </w:rPr>
        <w:t>示范应用；（2）开发</w:t>
      </w:r>
      <w:r>
        <w:rPr>
          <w:rFonts w:hint="default" w:ascii="Times New Roman" w:hAnsi="Times New Roman" w:eastAsia="仿宋_GB2312" w:cs="Times New Roman"/>
          <w:kern w:val="0"/>
          <w:sz w:val="32"/>
          <w:szCs w:val="32"/>
          <w:lang w:eastAsia="zh-CN" w:bidi="ar"/>
        </w:rPr>
        <w:t>基于生成式</w:t>
      </w:r>
      <w:r>
        <w:rPr>
          <w:rFonts w:hint="default" w:ascii="Times New Roman" w:hAnsi="Times New Roman" w:eastAsia="仿宋_GB2312" w:cs="Times New Roman"/>
          <w:kern w:val="0"/>
          <w:sz w:val="32"/>
          <w:szCs w:val="32"/>
          <w:lang w:val="en-US" w:eastAsia="zh-CN" w:bidi="ar"/>
        </w:rPr>
        <w:t>AI</w:t>
      </w:r>
      <w:r>
        <w:rPr>
          <w:rFonts w:hint="default" w:ascii="Times New Roman" w:hAnsi="Times New Roman" w:eastAsia="仿宋_GB2312" w:cs="Times New Roman"/>
          <w:kern w:val="0"/>
          <w:sz w:val="32"/>
          <w:szCs w:val="32"/>
          <w:lang w:bidi="ar"/>
        </w:rPr>
        <w:t>器物文创产品设计智能系统1套，三维模型到生产模型的完成率95%以上，生成效率不低于1款/小时，节约企业设计投入80%以上。</w:t>
      </w:r>
      <w:r>
        <w:rPr>
          <w:rFonts w:hint="default" w:ascii="Times New Roman" w:hAnsi="Times New Roman" w:eastAsia="仿宋_GB2312" w:cs="Times New Roman"/>
          <w:sz w:val="32"/>
          <w:szCs w:val="32"/>
        </w:rPr>
        <w:t>实现示范应用或产业化</w:t>
      </w:r>
      <w:r>
        <w:rPr>
          <w:rFonts w:hint="default" w:ascii="Times New Roman" w:hAnsi="Times New Roman" w:eastAsia="仿宋_GB2312" w:cs="Times New Roman"/>
          <w:sz w:val="32"/>
          <w:szCs w:val="32"/>
          <w:lang w:eastAsia="zh-CN"/>
        </w:rPr>
        <w:t>。</w:t>
      </w:r>
    </w:p>
    <w:p>
      <w:pPr>
        <w:pStyle w:val="4"/>
        <w:rPr>
          <w:rFonts w:hint="default" w:ascii="Times New Roman" w:hAnsi="Times New Roman" w:eastAsia="方正小标宋简体" w:cs="Times New Roman"/>
          <w:b w:val="0"/>
          <w:bCs w:val="0"/>
          <w:color w:val="auto"/>
          <w:sz w:val="44"/>
          <w:szCs w:val="44"/>
        </w:rPr>
        <w:sectPr>
          <w:headerReference r:id="rId3" w:type="default"/>
          <w:footerReference r:id="rId5" w:type="default"/>
          <w:headerReference r:id="rId4" w:type="even"/>
          <w:footerReference r:id="rId6" w:type="even"/>
          <w:pgSz w:w="11906" w:h="16838"/>
          <w:pgMar w:top="1701" w:right="1417" w:bottom="1701" w:left="1417" w:header="851" w:footer="1417" w:gutter="0"/>
          <w:cols w:space="425" w:num="1"/>
          <w:docGrid w:type="lines" w:linePitch="312" w:charSpace="0"/>
        </w:sectPr>
      </w:pPr>
    </w:p>
    <w:p>
      <w:pPr>
        <w:pStyle w:val="3"/>
        <w:jc w:val="center"/>
        <w:rPr>
          <w:rFonts w:hint="default" w:ascii="Times New Roman" w:hAnsi="Times New Roman" w:cs="Times New Roman"/>
          <w:sz w:val="32"/>
          <w:szCs w:val="32"/>
          <w:lang w:val="en" w:eastAsia="zh-CN"/>
        </w:rPr>
      </w:pPr>
      <w:r>
        <w:rPr>
          <w:rFonts w:hint="default" w:ascii="Times New Roman" w:hAnsi="Times New Roman" w:cs="Times New Roman"/>
          <w:b/>
          <w:bCs/>
          <w:sz w:val="32"/>
          <w:szCs w:val="32"/>
          <w:lang w:eastAsia="zh-CN"/>
        </w:rPr>
        <w:t>农业领域</w:t>
      </w:r>
    </w:p>
    <w:tbl>
      <w:tblPr>
        <w:tblStyle w:val="9"/>
        <w:tblW w:w="9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71"/>
        <w:gridCol w:w="4599"/>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818" w:type="dxa"/>
            <w:vAlign w:val="center"/>
          </w:tcPr>
          <w:p>
            <w:pPr>
              <w:keepNext w:val="0"/>
              <w:keepLines w:val="0"/>
              <w:pageBreakBefore w:val="0"/>
              <w:numPr>
                <w:ilvl w:val="0"/>
                <w:numId w:val="0"/>
              </w:numPr>
              <w:kinsoku/>
              <w:wordWrap/>
              <w:overflowPunct/>
              <w:topLinePunct w:val="0"/>
              <w:autoSpaceDE/>
              <w:autoSpaceDN/>
              <w:bidi w:val="0"/>
              <w:spacing w:line="340" w:lineRule="exact"/>
              <w:ind w:leftChars="0"/>
              <w:jc w:val="center"/>
              <w:rPr>
                <w:rFonts w:hint="default" w:ascii="Times New Roman" w:hAnsi="Times New Roman" w:eastAsia="仿宋_GB2312" w:cs="Times New Roman"/>
                <w:b/>
                <w:bCs/>
                <w:color w:val="auto"/>
                <w:kern w:val="0"/>
                <w:sz w:val="28"/>
                <w:szCs w:val="28"/>
                <w:highlight w:val="none"/>
              </w:rPr>
            </w:pPr>
            <w:r>
              <w:rPr>
                <w:rFonts w:hint="default" w:ascii="Times New Roman" w:hAnsi="Times New Roman" w:eastAsia="仿宋_GB2312" w:cs="Times New Roman"/>
                <w:b/>
                <w:bCs/>
                <w:color w:val="auto"/>
                <w:kern w:val="0"/>
                <w:sz w:val="28"/>
                <w:szCs w:val="28"/>
                <w:highlight w:val="none"/>
              </w:rPr>
              <w:t>序号</w:t>
            </w:r>
          </w:p>
        </w:tc>
        <w:tc>
          <w:tcPr>
            <w:tcW w:w="1671"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b/>
                <w:bCs/>
                <w:color w:val="auto"/>
                <w:kern w:val="0"/>
                <w:sz w:val="28"/>
                <w:szCs w:val="28"/>
                <w:highlight w:val="none"/>
                <w:lang w:eastAsia="zh-CN"/>
              </w:rPr>
            </w:pPr>
            <w:r>
              <w:rPr>
                <w:rFonts w:hint="default" w:ascii="Times New Roman" w:hAnsi="Times New Roman" w:eastAsia="仿宋_GB2312" w:cs="Times New Roman"/>
                <w:b/>
                <w:bCs/>
                <w:color w:val="auto"/>
                <w:kern w:val="0"/>
                <w:sz w:val="28"/>
                <w:szCs w:val="28"/>
                <w:highlight w:val="none"/>
                <w:lang w:eastAsia="zh-CN"/>
              </w:rPr>
              <w:t>技术领域</w:t>
            </w:r>
          </w:p>
        </w:tc>
        <w:tc>
          <w:tcPr>
            <w:tcW w:w="4599"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b/>
                <w:bCs/>
                <w:color w:val="auto"/>
                <w:kern w:val="0"/>
                <w:sz w:val="28"/>
                <w:szCs w:val="28"/>
                <w:highlight w:val="none"/>
                <w:lang w:eastAsia="zh-CN"/>
              </w:rPr>
            </w:pPr>
            <w:r>
              <w:rPr>
                <w:rFonts w:hint="default" w:ascii="Times New Roman" w:hAnsi="Times New Roman" w:eastAsia="仿宋_GB2312" w:cs="Times New Roman"/>
                <w:b/>
                <w:bCs/>
                <w:color w:val="auto"/>
                <w:kern w:val="0"/>
                <w:sz w:val="28"/>
                <w:szCs w:val="28"/>
                <w:highlight w:val="none"/>
              </w:rPr>
              <w:t>指南</w:t>
            </w:r>
            <w:r>
              <w:rPr>
                <w:rFonts w:hint="default" w:ascii="Times New Roman" w:hAnsi="Times New Roman" w:eastAsia="仿宋_GB2312" w:cs="Times New Roman"/>
                <w:b/>
                <w:bCs/>
                <w:color w:val="auto"/>
                <w:kern w:val="0"/>
                <w:sz w:val="28"/>
                <w:szCs w:val="28"/>
                <w:highlight w:val="none"/>
                <w:lang w:eastAsia="zh-CN"/>
              </w:rPr>
              <w:t>方向</w:t>
            </w:r>
          </w:p>
        </w:tc>
        <w:tc>
          <w:tcPr>
            <w:tcW w:w="246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b/>
                <w:bCs/>
                <w:color w:val="auto"/>
                <w:kern w:val="0"/>
                <w:sz w:val="28"/>
                <w:szCs w:val="28"/>
                <w:highlight w:val="none"/>
                <w:lang w:val="en-US" w:eastAsia="zh-CN" w:bidi="ar-SA"/>
              </w:rPr>
            </w:pPr>
            <w:r>
              <w:rPr>
                <w:rFonts w:hint="default" w:ascii="Times New Roman" w:hAnsi="Times New Roman" w:eastAsia="仿宋_GB2312" w:cs="Times New Roman"/>
                <w:b/>
                <w:bCs/>
                <w:color w:val="auto"/>
                <w:kern w:val="0"/>
                <w:sz w:val="28"/>
                <w:szCs w:val="28"/>
                <w:highlight w:val="none"/>
                <w:lang w:eastAsia="zh-CN"/>
              </w:rPr>
              <w:t>是否青年</w:t>
            </w:r>
            <w:r>
              <w:rPr>
                <w:rFonts w:hint="default" w:ascii="Times New Roman" w:hAnsi="Times New Roman" w:eastAsia="仿宋_GB2312" w:cs="Times New Roman"/>
                <w:b/>
                <w:bCs/>
                <w:color w:val="auto"/>
                <w:kern w:val="0"/>
                <w:sz w:val="28"/>
                <w:szCs w:val="28"/>
                <w:highlight w:val="none"/>
                <w:lang w:val="en" w:eastAsia="zh-CN"/>
              </w:rPr>
              <w:t>科学家</w:t>
            </w:r>
            <w:r>
              <w:rPr>
                <w:rFonts w:hint="default" w:ascii="Times New Roman" w:hAnsi="Times New Roman" w:eastAsia="仿宋_GB2312" w:cs="Times New Roman"/>
                <w:b/>
                <w:bCs/>
                <w:color w:val="auto"/>
                <w:kern w:val="0"/>
                <w:sz w:val="28"/>
                <w:szCs w:val="28"/>
                <w:highlight w:val="none"/>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18" w:type="dxa"/>
            <w:vAlign w:val="center"/>
          </w:tcPr>
          <w:p>
            <w:pPr>
              <w:keepNext w:val="0"/>
              <w:keepLines w:val="0"/>
              <w:pageBreakBefore w:val="0"/>
              <w:widowControl/>
              <w:numPr>
                <w:ilvl w:val="0"/>
                <w:numId w:val="0"/>
              </w:numPr>
              <w:tabs>
                <w:tab w:val="left" w:pos="420"/>
              </w:tabs>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rPr>
            </w:pPr>
            <w:r>
              <w:rPr>
                <w:rFonts w:hint="default" w:ascii="Times New Roman" w:hAnsi="Times New Roman" w:eastAsia="仿宋_GB2312" w:cs="Times New Roman"/>
                <w:b w:val="0"/>
                <w:bCs w:val="0"/>
                <w:color w:val="auto"/>
                <w:kern w:val="0"/>
                <w:sz w:val="28"/>
                <w:szCs w:val="28"/>
                <w:highlight w:val="none"/>
                <w:lang w:val="en-US" w:eastAsia="zh-CN"/>
              </w:rPr>
              <w:t>1</w:t>
            </w:r>
          </w:p>
        </w:tc>
        <w:tc>
          <w:tcPr>
            <w:tcW w:w="1671" w:type="dxa"/>
            <w:vMerge w:val="restart"/>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eastAsia="zh-CN"/>
              </w:rPr>
            </w:pPr>
            <w:r>
              <w:rPr>
                <w:rFonts w:hint="default" w:ascii="Times New Roman" w:hAnsi="Times New Roman" w:eastAsia="仿宋_GB2312" w:cs="Times New Roman"/>
                <w:b w:val="0"/>
                <w:bCs w:val="0"/>
                <w:sz w:val="28"/>
                <w:szCs w:val="28"/>
                <w:u w:val="none"/>
                <w:lang w:eastAsia="zh-CN"/>
              </w:rPr>
              <w:t>稻米产业新品种培育</w:t>
            </w:r>
          </w:p>
        </w:tc>
        <w:tc>
          <w:tcPr>
            <w:tcW w:w="459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优质香型水稻新品种选育及应用</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rPr>
            </w:pPr>
            <w:r>
              <w:rPr>
                <w:rFonts w:hint="default" w:ascii="Times New Roman" w:hAnsi="Times New Roman" w:eastAsia="仿宋_GB2312" w:cs="Times New Roman"/>
                <w:b w:val="0"/>
                <w:bCs w:val="0"/>
                <w:color w:val="auto"/>
                <w:kern w:val="0"/>
                <w:sz w:val="28"/>
                <w:szCs w:val="28"/>
                <w:highlight w:val="none"/>
                <w:lang w:val="en-US" w:eastAsia="zh-CN"/>
              </w:rPr>
              <w:t>2</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val="0"/>
                <w:bCs w:val="0"/>
                <w:i w:val="0"/>
                <w:color w:val="auto"/>
                <w:kern w:val="0"/>
                <w:sz w:val="28"/>
                <w:szCs w:val="28"/>
                <w:u w:val="none"/>
                <w:lang w:val="en-US" w:eastAsia="zh-CN" w:bidi="ar"/>
              </w:rPr>
            </w:pPr>
            <w:r>
              <w:rPr>
                <w:rFonts w:hint="default" w:ascii="Times New Roman" w:hAnsi="Times New Roman" w:eastAsia="仿宋_GB2312" w:cs="Times New Roman"/>
                <w:b w:val="0"/>
                <w:bCs w:val="0"/>
                <w:sz w:val="28"/>
                <w:szCs w:val="28"/>
                <w:u w:val="none"/>
                <w:lang w:eastAsia="zh-CN"/>
              </w:rPr>
              <w:t>基于分子标记和基因组选择的</w:t>
            </w:r>
            <w:r>
              <w:rPr>
                <w:rFonts w:hint="default" w:ascii="Times New Roman" w:hAnsi="Times New Roman" w:eastAsia="仿宋_GB2312" w:cs="Times New Roman"/>
                <w:b w:val="0"/>
                <w:bCs w:val="0"/>
                <w:sz w:val="28"/>
                <w:szCs w:val="28"/>
                <w:u w:val="none"/>
              </w:rPr>
              <w:t>高产优质抗逆强再生力水稻新</w:t>
            </w:r>
            <w:r>
              <w:rPr>
                <w:rFonts w:hint="default" w:ascii="Times New Roman" w:hAnsi="Times New Roman" w:eastAsia="仿宋_GB2312" w:cs="Times New Roman"/>
                <w:b w:val="0"/>
                <w:bCs w:val="0"/>
                <w:sz w:val="28"/>
                <w:szCs w:val="28"/>
                <w:u w:val="none"/>
                <w:lang w:eastAsia="zh-CN"/>
              </w:rPr>
              <w:t>品种选育及</w:t>
            </w:r>
            <w:r>
              <w:rPr>
                <w:rFonts w:hint="default" w:ascii="Times New Roman" w:hAnsi="Times New Roman" w:eastAsia="仿宋_GB2312" w:cs="Times New Roman"/>
                <w:b w:val="0"/>
                <w:bCs w:val="0"/>
                <w:sz w:val="28"/>
                <w:szCs w:val="28"/>
                <w:u w:val="none"/>
              </w:rPr>
              <w:t>应用</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18" w:type="dxa"/>
            <w:vAlign w:val="center"/>
          </w:tcPr>
          <w:p>
            <w:pPr>
              <w:keepNext w:val="0"/>
              <w:keepLines w:val="0"/>
              <w:pageBreakBefore w:val="0"/>
              <w:widowControl/>
              <w:numPr>
                <w:ilvl w:val="0"/>
                <w:numId w:val="0"/>
              </w:numPr>
              <w:tabs>
                <w:tab w:val="left" w:pos="420"/>
              </w:tabs>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rPr>
            </w:pPr>
            <w:r>
              <w:rPr>
                <w:rFonts w:hint="default" w:ascii="Times New Roman" w:hAnsi="Times New Roman" w:eastAsia="仿宋_GB2312" w:cs="Times New Roman"/>
                <w:b w:val="0"/>
                <w:bCs w:val="0"/>
                <w:color w:val="auto"/>
                <w:kern w:val="0"/>
                <w:sz w:val="28"/>
                <w:szCs w:val="28"/>
                <w:highlight w:val="none"/>
                <w:lang w:val="en-US" w:eastAsia="zh-CN"/>
              </w:rPr>
              <w:t>3</w:t>
            </w:r>
          </w:p>
        </w:tc>
        <w:tc>
          <w:tcPr>
            <w:tcW w:w="1671" w:type="dxa"/>
            <w:vMerge w:val="restart"/>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r>
              <w:rPr>
                <w:rFonts w:hint="default" w:ascii="Times New Roman" w:hAnsi="Times New Roman" w:eastAsia="仿宋_GB2312" w:cs="Times New Roman"/>
                <w:b w:val="0"/>
                <w:bCs w:val="0"/>
                <w:sz w:val="28"/>
                <w:szCs w:val="28"/>
                <w:u w:val="none"/>
                <w:lang w:eastAsia="zh-CN"/>
              </w:rPr>
              <w:t>油料产业新品种培育</w:t>
            </w:r>
          </w:p>
        </w:tc>
        <w:tc>
          <w:tcPr>
            <w:tcW w:w="459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油菜避荫性反应调控机理与耐密植品种培育</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rPr>
            </w:pPr>
            <w:r>
              <w:rPr>
                <w:rFonts w:hint="default" w:ascii="Times New Roman" w:hAnsi="Times New Roman" w:eastAsia="仿宋_GB2312" w:cs="Times New Roman"/>
                <w:b w:val="0"/>
                <w:bCs w:val="0"/>
                <w:color w:val="auto"/>
                <w:kern w:val="0"/>
                <w:sz w:val="28"/>
                <w:szCs w:val="28"/>
                <w:highlight w:val="none"/>
                <w:lang w:val="en-US" w:eastAsia="zh-CN"/>
              </w:rPr>
              <w:t>4</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sz w:val="28"/>
                <w:szCs w:val="28"/>
                <w:highlight w:val="none"/>
              </w:rPr>
            </w:pPr>
            <w:r>
              <w:rPr>
                <w:rFonts w:hint="default" w:ascii="Times New Roman" w:hAnsi="Times New Roman" w:eastAsia="仿宋_GB2312" w:cs="Times New Roman"/>
                <w:b w:val="0"/>
                <w:bCs w:val="0"/>
                <w:sz w:val="28"/>
                <w:szCs w:val="28"/>
                <w:u w:val="none"/>
              </w:rPr>
              <w:t>菜油两用</w:t>
            </w:r>
            <w:r>
              <w:rPr>
                <w:rFonts w:hint="default" w:ascii="Times New Roman" w:hAnsi="Times New Roman" w:eastAsia="仿宋_GB2312" w:cs="Times New Roman"/>
                <w:b w:val="0"/>
                <w:bCs w:val="0"/>
                <w:sz w:val="28"/>
                <w:szCs w:val="28"/>
                <w:u w:val="none"/>
                <w:lang w:eastAsia="zh-CN"/>
              </w:rPr>
              <w:t>富硒</w:t>
            </w:r>
            <w:r>
              <w:rPr>
                <w:rFonts w:hint="default" w:ascii="Times New Roman" w:hAnsi="Times New Roman" w:eastAsia="仿宋_GB2312" w:cs="Times New Roman"/>
                <w:b w:val="0"/>
                <w:bCs w:val="0"/>
                <w:sz w:val="28"/>
                <w:szCs w:val="28"/>
                <w:u w:val="none"/>
              </w:rPr>
              <w:t>油菜新品种选育</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rPr>
            </w:pPr>
            <w:r>
              <w:rPr>
                <w:rFonts w:hint="default" w:ascii="Times New Roman" w:hAnsi="Times New Roman" w:eastAsia="仿宋_GB2312" w:cs="Times New Roman"/>
                <w:b w:val="0"/>
                <w:bCs w:val="0"/>
                <w:color w:val="auto"/>
                <w:kern w:val="0"/>
                <w:sz w:val="28"/>
                <w:szCs w:val="28"/>
                <w:highlight w:val="none"/>
                <w:lang w:val="en-US" w:eastAsia="zh-CN"/>
              </w:rPr>
              <w:t>5</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花生种质资源创新与高产高油优质抗病新品种选育</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rPr>
            </w:pPr>
            <w:r>
              <w:rPr>
                <w:rFonts w:hint="default" w:ascii="Times New Roman" w:hAnsi="Times New Roman" w:eastAsia="仿宋_GB2312" w:cs="Times New Roman"/>
                <w:b w:val="0"/>
                <w:bCs w:val="0"/>
                <w:color w:val="auto"/>
                <w:kern w:val="0"/>
                <w:sz w:val="28"/>
                <w:szCs w:val="28"/>
                <w:highlight w:val="none"/>
                <w:lang w:val="en-US" w:eastAsia="zh-CN"/>
              </w:rPr>
              <w:t>6</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优异黑芝麻种质发掘与创新应用</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rPr>
            </w:pPr>
            <w:r>
              <w:rPr>
                <w:rFonts w:hint="default" w:ascii="Times New Roman" w:hAnsi="Times New Roman" w:eastAsia="仿宋_GB2312" w:cs="Times New Roman"/>
                <w:b w:val="0"/>
                <w:bCs w:val="0"/>
                <w:color w:val="auto"/>
                <w:kern w:val="0"/>
                <w:sz w:val="28"/>
                <w:szCs w:val="28"/>
                <w:highlight w:val="none"/>
                <w:lang w:val="en-US" w:eastAsia="zh-CN"/>
              </w:rPr>
              <w:t>7</w:t>
            </w:r>
          </w:p>
        </w:tc>
        <w:tc>
          <w:tcPr>
            <w:tcW w:w="167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kern w:val="0"/>
                <w:sz w:val="28"/>
                <w:szCs w:val="28"/>
                <w:highlight w:val="none"/>
              </w:rPr>
            </w:pPr>
            <w:r>
              <w:rPr>
                <w:rFonts w:hint="default" w:ascii="Times New Roman" w:hAnsi="Times New Roman" w:eastAsia="仿宋_GB2312" w:cs="Times New Roman"/>
                <w:b w:val="0"/>
                <w:bCs w:val="0"/>
                <w:sz w:val="28"/>
                <w:szCs w:val="28"/>
                <w:u w:val="none"/>
                <w:lang w:val="en-US" w:eastAsia="zh-CN"/>
              </w:rPr>
              <w:t>果蔬产业新品种培育及高效栽培</w:t>
            </w:r>
          </w:p>
        </w:tc>
        <w:tc>
          <w:tcPr>
            <w:tcW w:w="45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江西丘陵山地柑橘果园气象灾害监测预警及防控关键技术研究与示范</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rPr>
            </w:pPr>
            <w:r>
              <w:rPr>
                <w:rFonts w:hint="default" w:ascii="Times New Roman" w:hAnsi="Times New Roman" w:eastAsia="仿宋_GB2312" w:cs="Times New Roman"/>
                <w:b w:val="0"/>
                <w:bCs w:val="0"/>
                <w:color w:val="auto"/>
                <w:kern w:val="0"/>
                <w:sz w:val="28"/>
                <w:szCs w:val="28"/>
                <w:highlight w:val="none"/>
                <w:lang w:val="en-US" w:eastAsia="zh-CN"/>
              </w:rPr>
              <w:t>8</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梨或葡萄绿色智慧化高效生产</w:t>
            </w:r>
            <w:r>
              <w:rPr>
                <w:rFonts w:hint="default" w:ascii="Times New Roman" w:hAnsi="Times New Roman" w:eastAsia="仿宋_GB2312" w:cs="Times New Roman"/>
                <w:b w:val="0"/>
                <w:bCs w:val="0"/>
                <w:sz w:val="28"/>
                <w:szCs w:val="28"/>
                <w:u w:val="none"/>
                <w:lang w:eastAsia="zh-CN"/>
              </w:rPr>
              <w:t>与管理</w:t>
            </w:r>
            <w:r>
              <w:rPr>
                <w:rFonts w:hint="default" w:ascii="Times New Roman" w:hAnsi="Times New Roman" w:eastAsia="仿宋_GB2312" w:cs="Times New Roman"/>
                <w:b w:val="0"/>
                <w:bCs w:val="0"/>
                <w:sz w:val="28"/>
                <w:szCs w:val="28"/>
                <w:u w:val="none"/>
              </w:rPr>
              <w:t>关键技术研究与示范</w:t>
            </w:r>
          </w:p>
        </w:tc>
        <w:tc>
          <w:tcPr>
            <w:tcW w:w="24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rPr>
            </w:pPr>
            <w:r>
              <w:rPr>
                <w:rFonts w:hint="default" w:ascii="Times New Roman" w:hAnsi="Times New Roman" w:eastAsia="仿宋_GB2312" w:cs="Times New Roman"/>
                <w:b w:val="0"/>
                <w:bCs w:val="0"/>
                <w:color w:val="auto"/>
                <w:kern w:val="0"/>
                <w:sz w:val="28"/>
                <w:szCs w:val="28"/>
                <w:highlight w:val="none"/>
                <w:lang w:val="en-US" w:eastAsia="zh-CN"/>
              </w:rPr>
              <w:t>9</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val="0"/>
                <w:bCs w:val="0"/>
                <w:color w:val="auto"/>
                <w:kern w:val="0"/>
                <w:sz w:val="28"/>
                <w:szCs w:val="28"/>
                <w:lang w:val="en-US" w:eastAsia="zh-CN" w:bidi="ar-SA"/>
              </w:rPr>
            </w:pPr>
            <w:r>
              <w:rPr>
                <w:rFonts w:hint="default" w:ascii="Times New Roman" w:hAnsi="Times New Roman" w:eastAsia="仿宋_GB2312" w:cs="Times New Roman"/>
                <w:b w:val="0"/>
                <w:bCs w:val="0"/>
                <w:sz w:val="28"/>
                <w:szCs w:val="28"/>
                <w:u w:val="none"/>
              </w:rPr>
              <w:t>番茄耐旱或耐涝种质筛选、创新及优质多抗新品种选育</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rPr>
            </w:pPr>
            <w:r>
              <w:rPr>
                <w:rFonts w:hint="default" w:ascii="Times New Roman" w:hAnsi="Times New Roman" w:eastAsia="仿宋_GB2312" w:cs="Times New Roman"/>
                <w:b w:val="0"/>
                <w:bCs w:val="0"/>
                <w:color w:val="auto"/>
                <w:kern w:val="0"/>
                <w:sz w:val="28"/>
                <w:szCs w:val="28"/>
                <w:highlight w:val="none"/>
                <w:lang w:val="en-US" w:eastAsia="zh-CN"/>
              </w:rPr>
              <w:t>10</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lang w:val="en-US" w:eastAsia="zh-CN" w:bidi="ar-SA"/>
              </w:rPr>
            </w:pPr>
            <w:r>
              <w:rPr>
                <w:rFonts w:hint="default" w:ascii="Times New Roman" w:hAnsi="Times New Roman" w:eastAsia="仿宋_GB2312" w:cs="Times New Roman"/>
                <w:b w:val="0"/>
                <w:bCs w:val="0"/>
                <w:sz w:val="28"/>
                <w:szCs w:val="28"/>
                <w:u w:val="none"/>
              </w:rPr>
              <w:t>林下食用菌高效育繁推关键技术研究与示范</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rPr>
            </w:pPr>
            <w:r>
              <w:rPr>
                <w:rFonts w:hint="default" w:ascii="Times New Roman" w:hAnsi="Times New Roman" w:eastAsia="仿宋_GB2312" w:cs="Times New Roman"/>
                <w:b w:val="0"/>
                <w:bCs w:val="0"/>
                <w:color w:val="auto"/>
                <w:kern w:val="0"/>
                <w:sz w:val="28"/>
                <w:szCs w:val="28"/>
                <w:highlight w:val="none"/>
                <w:lang w:val="en-US" w:eastAsia="zh-CN"/>
              </w:rPr>
              <w:t>11</w:t>
            </w:r>
          </w:p>
        </w:tc>
        <w:tc>
          <w:tcPr>
            <w:tcW w:w="1671"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rPr>
            </w:pPr>
            <w:r>
              <w:rPr>
                <w:rFonts w:hint="default" w:ascii="Times New Roman" w:hAnsi="Times New Roman" w:eastAsia="仿宋_GB2312" w:cs="Times New Roman"/>
                <w:b w:val="0"/>
                <w:bCs w:val="0"/>
                <w:sz w:val="28"/>
                <w:szCs w:val="28"/>
                <w:u w:val="none"/>
                <w:lang w:eastAsia="zh-CN"/>
              </w:rPr>
              <w:t>畜牧产业新品种培育及高效养殖</w:t>
            </w:r>
          </w:p>
        </w:tc>
        <w:tc>
          <w:tcPr>
            <w:tcW w:w="459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改善母仔猪胃肠消化吸收功能的母仔一体化关键技术研究</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rPr>
            </w:pPr>
            <w:r>
              <w:rPr>
                <w:rFonts w:hint="default" w:ascii="Times New Roman" w:hAnsi="Times New Roman" w:eastAsia="仿宋_GB2312" w:cs="Times New Roman"/>
                <w:b w:val="0"/>
                <w:bCs w:val="0"/>
                <w:color w:val="auto"/>
                <w:kern w:val="0"/>
                <w:sz w:val="28"/>
                <w:szCs w:val="28"/>
                <w:highlight w:val="none"/>
                <w:lang w:val="en-US" w:eastAsia="zh-CN"/>
              </w:rPr>
              <w:t>12</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南方肉牛应激原组学解析与瘤胃微生物菌群研究</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818" w:type="dxa"/>
            <w:tcBorders>
              <w:top w:val="single" w:color="000000" w:sz="4" w:space="0"/>
              <w:bottom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13</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p>
        </w:tc>
        <w:tc>
          <w:tcPr>
            <w:tcW w:w="4599" w:type="dxa"/>
            <w:tcBorders>
              <w:top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江西地方鸭新遗传资源保护与开发利用</w:t>
            </w:r>
          </w:p>
        </w:tc>
        <w:tc>
          <w:tcPr>
            <w:tcW w:w="2460" w:type="dxa"/>
            <w:tcBorders>
              <w:top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8" w:type="dxa"/>
            <w:tcBorders>
              <w:top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14</w:t>
            </w:r>
          </w:p>
        </w:tc>
        <w:tc>
          <w:tcPr>
            <w:tcW w:w="1671"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lang w:eastAsia="zh-CN"/>
              </w:rPr>
              <w:t>水产</w:t>
            </w:r>
            <w:r>
              <w:rPr>
                <w:rFonts w:hint="default" w:ascii="Times New Roman" w:hAnsi="Times New Roman" w:eastAsia="仿宋_GB2312" w:cs="Times New Roman"/>
                <w:b w:val="0"/>
                <w:bCs w:val="0"/>
                <w:sz w:val="28"/>
                <w:szCs w:val="28"/>
                <w:u w:val="none"/>
                <w:lang w:val="en-US" w:eastAsia="zh-CN"/>
              </w:rPr>
              <w:t>产业新品种培育及高效养殖</w:t>
            </w:r>
          </w:p>
        </w:tc>
        <w:tc>
          <w:tcPr>
            <w:tcW w:w="4599"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彭泽鲫抗病新品种选育及分子机制解析</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18" w:type="dxa"/>
            <w:tcBorders>
              <w:top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15</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tcBorders>
              <w:top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工厂化养殖鳜、鲈寄生虫病害防控关键技术研究与应用</w:t>
            </w:r>
          </w:p>
        </w:tc>
        <w:tc>
          <w:tcPr>
            <w:tcW w:w="2460" w:type="dxa"/>
            <w:tcBorders>
              <w:top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18" w:type="dxa"/>
            <w:tcBorders>
              <w:top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16</w:t>
            </w:r>
          </w:p>
        </w:tc>
        <w:tc>
          <w:tcPr>
            <w:tcW w:w="1671"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r>
              <w:rPr>
                <w:rFonts w:hint="default" w:ascii="Times New Roman" w:hAnsi="Times New Roman" w:eastAsia="仿宋_GB2312" w:cs="Times New Roman"/>
                <w:b w:val="0"/>
                <w:bCs w:val="0"/>
                <w:sz w:val="28"/>
                <w:szCs w:val="28"/>
                <w:u w:val="none"/>
                <w:lang w:eastAsia="zh-CN"/>
              </w:rPr>
              <w:t>科技兴茶</w:t>
            </w:r>
          </w:p>
        </w:tc>
        <w:tc>
          <w:tcPr>
            <w:tcW w:w="4599"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江西茶树资源优良性状挖掘与新品种选育</w:t>
            </w:r>
          </w:p>
        </w:tc>
        <w:tc>
          <w:tcPr>
            <w:tcW w:w="2460" w:type="dxa"/>
            <w:tcBorders>
              <w:top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18" w:type="dxa"/>
            <w:tcBorders>
              <w:top w:val="single" w:color="000000" w:sz="4" w:space="0"/>
              <w:bottom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17</w:t>
            </w:r>
          </w:p>
        </w:tc>
        <w:tc>
          <w:tcPr>
            <w:tcW w:w="1671" w:type="dxa"/>
            <w:vMerge w:val="continue"/>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tcBorders>
              <w:top w:val="single" w:color="000000"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lang w:eastAsia="zh-CN"/>
              </w:rPr>
              <w:t>江</w:t>
            </w:r>
            <w:r>
              <w:rPr>
                <w:rFonts w:hint="default" w:ascii="Times New Roman" w:hAnsi="Times New Roman" w:eastAsia="仿宋_GB2312" w:cs="Times New Roman"/>
                <w:b w:val="0"/>
                <w:bCs w:val="0"/>
                <w:sz w:val="28"/>
                <w:szCs w:val="28"/>
                <w:u w:val="none"/>
              </w:rPr>
              <w:t>西特色</w:t>
            </w:r>
            <w:r>
              <w:rPr>
                <w:rFonts w:hint="default" w:ascii="Times New Roman" w:hAnsi="Times New Roman" w:eastAsia="仿宋_GB2312" w:cs="Times New Roman"/>
                <w:b w:val="0"/>
                <w:bCs w:val="0"/>
                <w:sz w:val="28"/>
                <w:szCs w:val="28"/>
                <w:u w:val="none"/>
                <w:lang w:eastAsia="zh-CN"/>
              </w:rPr>
              <w:t>茶</w:t>
            </w:r>
            <w:r>
              <w:rPr>
                <w:rFonts w:hint="default" w:ascii="Times New Roman" w:hAnsi="Times New Roman" w:eastAsia="仿宋_GB2312" w:cs="Times New Roman"/>
                <w:b w:val="0"/>
                <w:bCs w:val="0"/>
                <w:sz w:val="28"/>
                <w:szCs w:val="28"/>
                <w:u w:val="none"/>
              </w:rPr>
              <w:t>产品加工关键技术研究与应用示范</w:t>
            </w:r>
          </w:p>
        </w:tc>
        <w:tc>
          <w:tcPr>
            <w:tcW w:w="2460" w:type="dxa"/>
            <w:tcBorders>
              <w:top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18" w:type="dxa"/>
            <w:tcBorders>
              <w:top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18</w:t>
            </w:r>
          </w:p>
        </w:tc>
        <w:tc>
          <w:tcPr>
            <w:tcW w:w="1671"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b w:val="0"/>
                <w:bCs w:val="0"/>
                <w:color w:val="auto"/>
                <w:kern w:val="0"/>
                <w:sz w:val="28"/>
                <w:szCs w:val="28"/>
                <w:highlight w:val="none"/>
              </w:rPr>
            </w:pPr>
            <w:r>
              <w:rPr>
                <w:rFonts w:hint="default" w:ascii="Times New Roman" w:hAnsi="Times New Roman" w:eastAsia="仿宋_GB2312" w:cs="Times New Roman"/>
                <w:b w:val="0"/>
                <w:bCs w:val="0"/>
                <w:sz w:val="28"/>
                <w:szCs w:val="28"/>
                <w:u w:val="none"/>
                <w:lang w:eastAsia="zh-CN"/>
              </w:rPr>
              <w:t>农产品加工</w:t>
            </w:r>
          </w:p>
        </w:tc>
        <w:tc>
          <w:tcPr>
            <w:tcW w:w="4599"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水产食品提质增效减损关键技术研究及产业化示范</w:t>
            </w:r>
          </w:p>
        </w:tc>
        <w:tc>
          <w:tcPr>
            <w:tcW w:w="2460" w:type="dxa"/>
            <w:tcBorders>
              <w:top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19</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特色粮油加工增值关键技术研究与应用示范</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20</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肉类保鲜与肉制品加工关键技术研发及产业化示范</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21</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罗霄山脉地区土特优健康食品标准化加工关键技术研究与应用</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22</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食药同源物料智能化干燥加工关键共性技术</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23</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江西特色竹笋资源废弃物高值化利用的关键技术研究及产业化</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24</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富含铁皮石斛多糖营养健康食品创制与产业化</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25</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竹材加工先进制造技术集成及高附加值产品研发</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rPr>
            </w:pPr>
            <w:r>
              <w:rPr>
                <w:rFonts w:hint="default" w:ascii="Times New Roman" w:hAnsi="Times New Roman" w:eastAsia="仿宋_GB2312" w:cs="Times New Roman"/>
                <w:b w:val="0"/>
                <w:bCs w:val="0"/>
                <w:color w:val="auto"/>
                <w:kern w:val="0"/>
                <w:sz w:val="28"/>
                <w:szCs w:val="28"/>
                <w:highlight w:val="none"/>
                <w:lang w:val="en-US" w:eastAsia="zh-CN"/>
              </w:rPr>
              <w:t>26</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高性能结构竹材的制备技术及应用示范</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rPr>
            </w:pPr>
            <w:r>
              <w:rPr>
                <w:rFonts w:hint="default" w:ascii="Times New Roman" w:hAnsi="Times New Roman" w:eastAsia="仿宋_GB2312" w:cs="Times New Roman"/>
                <w:b w:val="0"/>
                <w:bCs w:val="0"/>
                <w:color w:val="auto"/>
                <w:kern w:val="0"/>
                <w:sz w:val="28"/>
                <w:szCs w:val="28"/>
                <w:highlight w:val="none"/>
                <w:lang w:val="en-US" w:eastAsia="zh-CN"/>
              </w:rPr>
              <w:t>27</w:t>
            </w:r>
          </w:p>
        </w:tc>
        <w:tc>
          <w:tcPr>
            <w:tcW w:w="1671" w:type="dxa"/>
            <w:vMerge w:val="restart"/>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r>
              <w:rPr>
                <w:rFonts w:hint="default" w:ascii="Times New Roman" w:hAnsi="Times New Roman" w:eastAsia="仿宋_GB2312" w:cs="Times New Roman"/>
                <w:b w:val="0"/>
                <w:bCs w:val="0"/>
                <w:sz w:val="28"/>
                <w:szCs w:val="28"/>
                <w:u w:val="none"/>
                <w:lang w:val="en-US" w:eastAsia="zh-CN"/>
              </w:rPr>
              <w:t>农机装备</w:t>
            </w:r>
          </w:p>
        </w:tc>
        <w:tc>
          <w:tcPr>
            <w:tcW w:w="459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水稻育秧炼苗环节高效摆盘和起盘机装备研究</w:t>
            </w:r>
          </w:p>
        </w:tc>
        <w:tc>
          <w:tcPr>
            <w:tcW w:w="2460" w:type="dxa"/>
            <w:vMerge w:val="restart"/>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rPr>
            </w:pPr>
            <w:r>
              <w:rPr>
                <w:rFonts w:hint="default" w:ascii="Times New Roman" w:hAnsi="Times New Roman" w:eastAsia="仿宋_GB2312" w:cs="Times New Roman"/>
                <w:b w:val="0"/>
                <w:bCs w:val="0"/>
                <w:color w:val="auto"/>
                <w:kern w:val="0"/>
                <w:sz w:val="28"/>
                <w:szCs w:val="28"/>
                <w:highlight w:val="none"/>
                <w:lang w:val="en-US" w:eastAsia="zh-CN"/>
              </w:rPr>
              <w:t>28</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丘陵山区双季水稻生产全程轻简智能化关键装备研发与示范</w:t>
            </w:r>
          </w:p>
        </w:tc>
        <w:tc>
          <w:tcPr>
            <w:tcW w:w="2460"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rPr>
            </w:pPr>
            <w:r>
              <w:rPr>
                <w:rFonts w:hint="default" w:ascii="Times New Roman" w:hAnsi="Times New Roman" w:eastAsia="仿宋_GB2312" w:cs="Times New Roman"/>
                <w:b w:val="0"/>
                <w:bCs w:val="0"/>
                <w:color w:val="auto"/>
                <w:kern w:val="0"/>
                <w:sz w:val="28"/>
                <w:szCs w:val="28"/>
                <w:highlight w:val="none"/>
                <w:lang w:val="en-US" w:eastAsia="zh-CN"/>
              </w:rPr>
              <w:t>29</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val="0"/>
                <w:bCs w:val="0"/>
                <w:color w:val="auto"/>
                <w:kern w:val="0"/>
                <w:sz w:val="28"/>
                <w:szCs w:val="28"/>
                <w:lang w:val="en-US" w:eastAsia="zh-CN" w:bidi="ar-SA"/>
              </w:rPr>
            </w:pPr>
            <w:r>
              <w:rPr>
                <w:rFonts w:hint="default" w:ascii="Times New Roman" w:hAnsi="Times New Roman" w:eastAsia="仿宋_GB2312" w:cs="Times New Roman"/>
                <w:b w:val="0"/>
                <w:bCs w:val="0"/>
                <w:sz w:val="28"/>
                <w:szCs w:val="28"/>
                <w:u w:val="none"/>
              </w:rPr>
              <w:t>油菜移栽施肥一体机的研制与农机农艺融合技术应用与示范</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rPr>
            </w:pPr>
            <w:r>
              <w:rPr>
                <w:rFonts w:hint="default" w:ascii="Times New Roman" w:hAnsi="Times New Roman" w:eastAsia="仿宋_GB2312" w:cs="Times New Roman"/>
                <w:b w:val="0"/>
                <w:bCs w:val="0"/>
                <w:color w:val="auto"/>
                <w:kern w:val="0"/>
                <w:sz w:val="28"/>
                <w:szCs w:val="28"/>
                <w:highlight w:val="none"/>
                <w:lang w:val="en-US" w:eastAsia="zh-CN"/>
              </w:rPr>
              <w:t>30</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rPr>
            </w:pPr>
          </w:p>
        </w:tc>
        <w:tc>
          <w:tcPr>
            <w:tcW w:w="459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油茶低损高效采粉及无人机精准授粉技术装备研发与应用示范</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31</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p>
        </w:tc>
        <w:tc>
          <w:tcPr>
            <w:tcW w:w="4599"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家禽智能化育种技术研究与</w:t>
            </w:r>
            <w:r>
              <w:rPr>
                <w:rFonts w:hint="default" w:ascii="Times New Roman" w:hAnsi="Times New Roman" w:eastAsia="仿宋_GB2312" w:cs="Times New Roman"/>
                <w:b w:val="0"/>
                <w:bCs w:val="0"/>
                <w:sz w:val="28"/>
                <w:szCs w:val="28"/>
                <w:u w:val="none"/>
                <w:lang w:eastAsia="zh-CN"/>
              </w:rPr>
              <w:t>设备研发及</w:t>
            </w:r>
            <w:r>
              <w:rPr>
                <w:rFonts w:hint="default" w:ascii="Times New Roman" w:hAnsi="Times New Roman" w:eastAsia="仿宋_GB2312" w:cs="Times New Roman"/>
                <w:b w:val="0"/>
                <w:bCs w:val="0"/>
                <w:sz w:val="28"/>
                <w:szCs w:val="28"/>
                <w:u w:val="none"/>
              </w:rPr>
              <w:t>示范</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1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32</w:t>
            </w:r>
          </w:p>
        </w:tc>
        <w:tc>
          <w:tcPr>
            <w:tcW w:w="1671" w:type="dxa"/>
            <w:vMerge w:val="continue"/>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p>
        </w:tc>
        <w:tc>
          <w:tcPr>
            <w:tcW w:w="4599"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sz w:val="28"/>
                <w:szCs w:val="28"/>
                <w:u w:val="none"/>
              </w:rPr>
              <w:t>名优茶智能采摘装备关键算法与技术研究</w:t>
            </w:r>
          </w:p>
        </w:tc>
        <w:tc>
          <w:tcPr>
            <w:tcW w:w="2460" w:type="dxa"/>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仿宋_GB2312" w:cs="Times New Roman"/>
                <w:b w:val="0"/>
                <w:bCs w:val="0"/>
                <w:color w:val="auto"/>
                <w:kern w:val="0"/>
                <w:sz w:val="28"/>
                <w:szCs w:val="28"/>
                <w:highlight w:val="none"/>
                <w:lang w:val="en-US" w:eastAsia="zh-CN" w:bidi="ar-SA"/>
              </w:rPr>
            </w:pPr>
            <w:r>
              <w:rPr>
                <w:rFonts w:hint="default" w:ascii="Times New Roman" w:hAnsi="Times New Roman" w:eastAsia="仿宋_GB2312" w:cs="Times New Roman"/>
                <w:b w:val="0"/>
                <w:bCs w:val="0"/>
                <w:color w:val="auto"/>
                <w:kern w:val="0"/>
                <w:sz w:val="28"/>
                <w:szCs w:val="28"/>
                <w:highlight w:val="none"/>
                <w:lang w:val="en-US" w:eastAsia="zh-CN" w:bidi="ar-SA"/>
              </w:rPr>
              <w:t>青年科学家项目</w:t>
            </w: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b/>
          <w:bCs/>
          <w:sz w:val="32"/>
          <w:szCs w:val="32"/>
          <w:u w:val="none"/>
        </w:rPr>
      </w:pPr>
      <w:r>
        <w:rPr>
          <w:rFonts w:hint="eastAsia" w:ascii="Times New Roman" w:hAnsi="Times New Roman" w:eastAsia="黑体" w:cs="Times New Roman"/>
          <w:b w:val="0"/>
          <w:bCs w:val="0"/>
          <w:sz w:val="32"/>
          <w:szCs w:val="32"/>
          <w:u w:val="none"/>
          <w:lang w:eastAsia="zh-CN"/>
        </w:rPr>
        <w:t>　　</w:t>
      </w:r>
      <w:r>
        <w:rPr>
          <w:rFonts w:hint="default" w:ascii="Times New Roman" w:hAnsi="Times New Roman" w:eastAsia="黑体" w:cs="Times New Roman"/>
          <w:b w:val="0"/>
          <w:bCs w:val="0"/>
          <w:sz w:val="32"/>
          <w:szCs w:val="32"/>
          <w:u w:val="none"/>
        </w:rPr>
        <w:t>一、</w:t>
      </w:r>
      <w:r>
        <w:rPr>
          <w:rFonts w:hint="default" w:ascii="Times New Roman" w:hAnsi="Times New Roman" w:eastAsia="黑体" w:cs="Times New Roman"/>
          <w:b w:val="0"/>
          <w:bCs w:val="0"/>
          <w:sz w:val="32"/>
          <w:szCs w:val="32"/>
          <w:u w:val="none"/>
          <w:lang w:eastAsia="zh-CN"/>
        </w:rPr>
        <w:t>稻米产业新品种培育</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1．</w:t>
      </w:r>
      <w:r>
        <w:rPr>
          <w:rFonts w:hint="default" w:ascii="Times New Roman" w:hAnsi="Times New Roman" w:eastAsia="仿宋_GB2312" w:cs="Times New Roman"/>
          <w:b/>
          <w:bCs/>
          <w:sz w:val="32"/>
          <w:szCs w:val="32"/>
          <w:u w:val="none"/>
        </w:rPr>
        <w:t>优质香型水稻新品种选育及应用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我省水稻种质资源比较单一和优质香型水稻品种严重缺乏问题，挖掘利用地方香型水稻种资源并引进优异香型水稻种质资源，构建优质香型稻种质资源库，开展香气、品质测定和整理分类，利用分子标记辅助育种的方法定向选择，创制香型水稻育种材料，精准鉴定和检测选择材料，培育性状优良和配合力好的不育系，优质香型恢复系及常规稻品种资源，挖掘自主育成的香型品种和种质资源潜能，选育适应市场需求新品种，并配套优质高产栽培技术进行示范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收集香型水稻种源200份以上，建立种质资源库，开展遗传性状特性研究，并与相关育种单位分享优质香型水稻资源100份以上，创制优质不育系材料（品质达国标3级以上）3份以上，优质香型常规稻、恢复系5份以上，研发简便快速鉴别香型育种材料鉴定方法，申请品种保护或发明专利2件，育成香型杂交稻组合或常规稻品种2-3个，制定香型水稻配套栽培技术规程1～2项，示范应用10万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2</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sz w:val="32"/>
          <w:szCs w:val="32"/>
          <w:u w:val="none"/>
          <w:lang w:eastAsia="zh-CN"/>
        </w:rPr>
        <w:t>基于分子标记和基因组选择的</w:t>
      </w:r>
      <w:r>
        <w:rPr>
          <w:rFonts w:hint="default" w:ascii="Times New Roman" w:hAnsi="Times New Roman" w:eastAsia="仿宋_GB2312" w:cs="Times New Roman"/>
          <w:b/>
          <w:bCs/>
          <w:sz w:val="32"/>
          <w:szCs w:val="32"/>
          <w:u w:val="none"/>
        </w:rPr>
        <w:t>高产优质抗逆强再生力水稻新</w:t>
      </w:r>
      <w:r>
        <w:rPr>
          <w:rFonts w:hint="default" w:ascii="Times New Roman" w:hAnsi="Times New Roman" w:eastAsia="仿宋_GB2312" w:cs="Times New Roman"/>
          <w:b/>
          <w:bCs/>
          <w:sz w:val="32"/>
          <w:szCs w:val="32"/>
          <w:u w:val="none"/>
          <w:lang w:eastAsia="zh-CN"/>
        </w:rPr>
        <w:t>品种选育及</w:t>
      </w:r>
      <w:r>
        <w:rPr>
          <w:rFonts w:hint="default" w:ascii="Times New Roman" w:hAnsi="Times New Roman" w:eastAsia="仿宋_GB2312" w:cs="Times New Roman"/>
          <w:b/>
          <w:bCs/>
          <w:sz w:val="32"/>
          <w:szCs w:val="32"/>
          <w:u w:val="none"/>
        </w:rPr>
        <w:t xml:space="preserve">应用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江西再生稻专用种源缺乏、再生稻产量和品质稳定性差等突出问题，通过分子标记辅助和基因组选择技术，筛选鉴定再生能力强新种质；挖掘再生能力强的水稻优异基因位点，定位和克隆再生能力强、再生季穗层整齐、再生季成熟度整齐一致基因，解析再生能力强等性状分子调控机制；利用基因编辑等技术创制再生能力强、高抗病虫害、优质食味再生稻新种质，培育适宜本省种植的优质再生稻新品种，并集成高产高效栽培技术进行大面积示范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鉴定再生性和产量相关基因3个，创制再生能力强、高产抗逆优异水稻新种质10份以上，培育适合我省种植的再生稻新品种1~2 个，耐碾压、再生力、抗倒伏、早熟性等综合性状改良10%以上，再生季亩产350公斤以上，周年亩产1000公斤以上，再生季米质达部标2级。集成机械化、轻简化高产高效栽培技术模式1~2套，示范推广面积10万亩以上。申请植物品种权及专利3~4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b w:val="0"/>
          <w:bCs w:val="0"/>
          <w:sz w:val="32"/>
          <w:szCs w:val="32"/>
          <w:u w:val="none"/>
          <w:lang w:val="en-US" w:eastAsia="zh-CN"/>
        </w:rPr>
      </w:pPr>
      <w:r>
        <w:rPr>
          <w:rFonts w:hint="default" w:ascii="Times New Roman" w:hAnsi="Times New Roman" w:eastAsia="黑体" w:cs="Times New Roman"/>
          <w:b w:val="0"/>
          <w:bCs w:val="0"/>
          <w:sz w:val="32"/>
          <w:szCs w:val="32"/>
          <w:u w:val="none"/>
          <w:lang w:val="en-US" w:eastAsia="zh-CN"/>
        </w:rPr>
        <w:t xml:space="preserve">    二、油料产业新品种培育</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3</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sz w:val="32"/>
          <w:szCs w:val="32"/>
          <w:u w:val="none"/>
        </w:rPr>
        <w:t>油菜避荫性反应调控机理与耐密植品种培育（青年科学家项目）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我省油菜生态区特点，以油菜“耐荫性、耐密植、高产、优质”等性状的遗传育种研究为主攻方向，克隆和定位耐荫、耐密植、耐晚播等性状相关基因/QTL，创制相应优异新种质，建立耐密植油菜分子育种技术体系；通过分子标记辅助选育和常规育种手段等相结合，创制耐密植、高产、双低、高含油量油菜新品系或新组合，培育油菜新品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克隆鉴定耐荫性、耐密植性相关基因3个，开发5个分子标记，形成密植品种培育的分子育种技术体系1套，培育耐密植新种质3份，培育高产、优质、耐密植油菜品种2个，含油量≥45%以上，芥酸含量低于2%，菜籽中硫苷含量低于28微摩尔/克，本项目培育的品种与省级区试对照组相比，单位面积出油量增产5%以上，抗逆性较好、耐菌核病性较好、适宜机械化收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4</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sz w:val="32"/>
          <w:szCs w:val="32"/>
          <w:u w:val="none"/>
        </w:rPr>
        <w:t>菜油两用</w:t>
      </w:r>
      <w:r>
        <w:rPr>
          <w:rFonts w:hint="default" w:ascii="Times New Roman" w:hAnsi="Times New Roman" w:eastAsia="仿宋_GB2312" w:cs="Times New Roman"/>
          <w:b/>
          <w:bCs/>
          <w:sz w:val="32"/>
          <w:szCs w:val="32"/>
          <w:u w:val="none"/>
          <w:lang w:eastAsia="zh-CN"/>
        </w:rPr>
        <w:t>富硒</w:t>
      </w:r>
      <w:r>
        <w:rPr>
          <w:rFonts w:hint="default" w:ascii="Times New Roman" w:hAnsi="Times New Roman" w:eastAsia="仿宋_GB2312" w:cs="Times New Roman"/>
          <w:b/>
          <w:bCs/>
          <w:sz w:val="32"/>
          <w:szCs w:val="32"/>
          <w:u w:val="none"/>
        </w:rPr>
        <w:t>油菜新品种选育（青年科学家项目）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我省秋冬季大量天然富硒土地处于闲置状态和能满足市场需求的富硒高效应季新鲜绿色蔬菜优良品种严重匮乏等“卡脖子”问题，系统开展菜油两用油菜种质资源富硒和高营养性状评价，发掘一批具有重要育种价值的优良富硒菜油两用种质资源；通过构建富硒和高品质油菜高质量基因组图谱，开发富硒相关分子标记，鉴定富硒和品质相关重要基因的功能并解析其调控机制，结合种/属间杂交和基因编辑技术进行定向分子标记辅助选择育种，选育优质富硒新品种。开展富硒和高品质油菜新品种选育和配套栽培技术的集成创新，制定技术标准，在全省油菜主产区建立核心示范基地，并进行示范推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收集和鉴定高品质菜油两用油菜种质资源300份以上，创制优质富硒菜油两用油菜新种质20份以上，并建立相应的种质资源圃进行异地保存；筛选2-3个显著富硒和高品质的天然/地方特色油菜品系，进行HiFi、HiC和Illumina测序，组装获得高质量基因组图谱；开发油菜富硒和品质相关特异性分子标记5~8个，解析2~3个富硒和品质相关重要基因的分子调控机制，并利用CRISPR技术获得相应的基因编辑材料；选育高品质富硒菜油两用油菜新品种2~3个；集成配套栽培技术规程1套；建立核心示范基地5~8个，每个核心示范基地300亩以上，经济效益提高10%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5</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i w:val="0"/>
          <w:color w:val="000000"/>
          <w:kern w:val="0"/>
          <w:sz w:val="32"/>
          <w:szCs w:val="32"/>
          <w:u w:val="none"/>
          <w:lang w:val="en-US" w:eastAsia="zh-CN" w:bidi="ar"/>
        </w:rPr>
        <w:t>花</w:t>
      </w:r>
      <w:r>
        <w:rPr>
          <w:rFonts w:hint="default" w:ascii="Times New Roman" w:hAnsi="Times New Roman" w:eastAsia="仿宋_GB2312" w:cs="Times New Roman"/>
          <w:b/>
          <w:bCs/>
          <w:sz w:val="32"/>
          <w:szCs w:val="32"/>
          <w:u w:val="none"/>
        </w:rPr>
        <w:t>生种质资源创新与高产高油优质抗病新品种选育</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江西花生单产低、品种更新慢、品种老化及青枯病、白绢病等重要病害频发等突出问题，精准评估花生种质资源产量、脂肪含量、生物/非生物抗性、熟性、宜机收及鲜食用途等性状，筛选和创制优异种质资源；挖掘花生优异等位基因，培育高油、高油酸、高产、抗病、早熟、适宜机械化及适宜间套作的花生优良新品种，集成配套花生高产高效栽培技术模式，并进行大规模示范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开发与产量、油酸、脂肪含量等核心性状相关、育种价值明确的核心功能基因分子标记3个；创制高油酸、高产、多抗（抗病和耐荫蔽）或高含油量（含油量≥55%以上）优异育种材料6份，耐隐蔽、抗青枯病或白绢病、适宜机械化收获；育成高产、高油酸、抗病品种1～2个（油酸含量≥75%、产量比我省常规主栽品种增产8%以上、青枯病抗性评价在中抗以上）；建立花生高产高效、轻简化栽培技术模式1套，示范应用面积5万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6</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i w:val="0"/>
          <w:color w:val="000000"/>
          <w:kern w:val="0"/>
          <w:sz w:val="32"/>
          <w:szCs w:val="32"/>
          <w:u w:val="none"/>
          <w:lang w:val="en-US" w:eastAsia="zh-CN" w:bidi="ar"/>
        </w:rPr>
        <w:t>优</w:t>
      </w:r>
      <w:r>
        <w:rPr>
          <w:rFonts w:hint="default" w:ascii="Times New Roman" w:hAnsi="Times New Roman" w:eastAsia="仿宋_GB2312" w:cs="Times New Roman"/>
          <w:b/>
          <w:bCs/>
          <w:sz w:val="32"/>
          <w:szCs w:val="32"/>
          <w:u w:val="none"/>
        </w:rPr>
        <w:t>异黑芝麻种质发掘与创新应用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江西省黑芝麻产业发展中优异种质资源匮乏、优良品种少和新品种培育缓慢等突出问题，开展优异芝麻种质发掘与创制、重要性状基因位点的鉴定和育种新技术等研究，选育优质、高产、抗逆黑芝麻新品种，集成配套黑芝麻高产高效栽培技术并大面积示范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发掘芝麻品质（芝麻素、蛋白含量）、产量等性状基因位点10个以上，鉴定得到重要育种目标性状相关基因1～2个；发掘或创制优质黑芝麻材料5～6份（芝麻素含量10mg/g以上或蛋白含量24%以上）；审定优质高产抗逆黑芝麻新品种1～2个；制定省级及以上技术规程（标准）1项，新品种示范推广5000亩以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b w:val="0"/>
          <w:bCs w:val="0"/>
          <w:sz w:val="32"/>
          <w:szCs w:val="32"/>
          <w:u w:val="none"/>
          <w:lang w:val="en-US" w:eastAsia="zh-CN"/>
        </w:rPr>
      </w:pPr>
      <w:r>
        <w:rPr>
          <w:rFonts w:hint="default" w:ascii="Times New Roman" w:hAnsi="Times New Roman" w:eastAsia="黑体" w:cs="Times New Roman"/>
          <w:b w:val="0"/>
          <w:bCs w:val="0"/>
          <w:sz w:val="32"/>
          <w:szCs w:val="32"/>
          <w:u w:val="none"/>
          <w:lang w:val="en-US" w:eastAsia="zh-CN"/>
        </w:rPr>
        <w:t xml:space="preserve">    三、果蔬产业新品种培育及高效栽培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7</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i w:val="0"/>
          <w:color w:val="000000"/>
          <w:kern w:val="0"/>
          <w:sz w:val="32"/>
          <w:szCs w:val="32"/>
          <w:u w:val="none"/>
          <w:lang w:val="en-US" w:eastAsia="zh-CN" w:bidi="ar"/>
        </w:rPr>
        <w:t>江</w:t>
      </w:r>
      <w:r>
        <w:rPr>
          <w:rFonts w:hint="default" w:ascii="Times New Roman" w:hAnsi="Times New Roman" w:eastAsia="仿宋_GB2312" w:cs="Times New Roman"/>
          <w:b/>
          <w:bCs/>
          <w:sz w:val="32"/>
          <w:szCs w:val="32"/>
          <w:u w:val="none"/>
        </w:rPr>
        <w:t>西丘陵山地柑橘果园气象灾害监测预警及防控关键技术研究与示范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 xml:space="preserve">针对江西丘陵山地柑橘果园小气候的精准预报及灾害预警不足、不同等级气象灾害的对应防控措施缺乏等问题，研发集合空间相关性和预测模型的簇型数据收集系统，结合区域天气预报数据，集成人工智能算法和数理方法的丘陵山地柑橘果园小气候预报模型，对柑橘果园日最高温和最低温进行“早”预报；研究气象灾害（低温冻害和高温热害）对江西丘陵山地柑橘（脐橙、蜜橘和甜柚）致灾的光合系统破坏、衰老加剧等生理过程的蛋白表达变化及碳氮代谢机理等，建立耦合光合、荧光、气象及作物形态等多参数的气象灾害等级指标构建模型，确定基于灾害影响机理的柑橘气象灾害等级指标，对柑橘果园灾害等级进行“准”预警；集成减轻气象灾害有效的防控措施（灌水、喷药、覆盖等），结合灾后柑橘树体恢复农艺调控措施（修剪、水肥管理等），对柑橘果园不同灾害强度等级进行“实”防控，并建立示范园。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探明气象灾害对江西丘陵山地柑橘致灾的生理机制，确定丘陵山地柑橘低温冻害和高温热害灾害指标各1套，进行提前7天的“早”预报;构建丘陵山地柑橘果园小气候预报预警模型1套；制定江西省丘陵山地柑橘有效的低温冻害和高温热害防控技术规程各1项；建立丘陵山地柑橘气象灾害防控技术示范园1个，面积500亩以上；申请发明专利2件、软件著作权1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8. 梨</w:t>
      </w:r>
      <w:r>
        <w:rPr>
          <w:rFonts w:hint="default" w:ascii="Times New Roman" w:hAnsi="Times New Roman" w:eastAsia="仿宋_GB2312" w:cs="Times New Roman"/>
          <w:b/>
          <w:bCs/>
          <w:sz w:val="32"/>
          <w:szCs w:val="32"/>
          <w:u w:val="none"/>
        </w:rPr>
        <w:t>或葡萄绿色智慧化高效生产</w:t>
      </w:r>
      <w:r>
        <w:rPr>
          <w:rFonts w:hint="default" w:ascii="Times New Roman" w:hAnsi="Times New Roman" w:eastAsia="仿宋_GB2312" w:cs="Times New Roman"/>
          <w:b/>
          <w:bCs/>
          <w:sz w:val="32"/>
          <w:szCs w:val="32"/>
          <w:u w:val="none"/>
          <w:lang w:eastAsia="zh-CN"/>
        </w:rPr>
        <w:t>与管理</w:t>
      </w:r>
      <w:r>
        <w:rPr>
          <w:rFonts w:hint="default" w:ascii="Times New Roman" w:hAnsi="Times New Roman" w:eastAsia="仿宋_GB2312" w:cs="Times New Roman"/>
          <w:b/>
          <w:bCs/>
          <w:sz w:val="32"/>
          <w:szCs w:val="32"/>
          <w:u w:val="none"/>
        </w:rPr>
        <w:t>关键技术研究与示范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江西省梨或葡萄产业生产管理精准化智慧化水平低、现有生产管理用工量大与劳动力短缺矛盾日益突显、化肥农药施用不合理、优质果率低等问题，研发适宜丘陵山地梨或葡萄智慧化建园、绿色优质省力化生产、智能化水肥管理、病虫害智慧监测与绿色防控以及大数据分析等技术；研究矿质营养、光合效率、功能物质代谢及植物激素、病虫害等与树形的时空耦合机理，创新适宜丘陵山地的梨或葡萄轻简优质高效树形；集成与创新整形修剪和花果管理技术的轻简化、废弃物综合治理利用与丘陵山区土壤生物改良技术体</w:t>
      </w:r>
      <w:r>
        <w:rPr>
          <w:rFonts w:hint="default" w:ascii="Times New Roman" w:hAnsi="Times New Roman" w:eastAsia="仿宋_GB2312" w:cs="Times New Roman"/>
          <w:b w:val="0"/>
          <w:bCs w:val="0"/>
          <w:sz w:val="32"/>
          <w:szCs w:val="32"/>
          <w:u w:val="none"/>
          <w:lang w:val="en-US" w:eastAsia="zh-CN"/>
        </w:rPr>
        <w:t>系；研发与集成能远程、实时监测果树生长、土壤温湿度、土壤pH和EC值、土壤主要养分含量、空气温湿度、光照强度等数据，指导适量施用、高效</w:t>
      </w:r>
      <w:r>
        <w:rPr>
          <w:rFonts w:hint="default" w:ascii="Times New Roman" w:hAnsi="Times New Roman" w:eastAsia="仿宋_GB2312" w:cs="Times New Roman"/>
          <w:sz w:val="32"/>
          <w:szCs w:val="32"/>
          <w:u w:val="none"/>
        </w:rPr>
        <w:t>节约、灵敏可靠的水肥药精准管理技术与关键智能作业装备；创制梨或葡萄智慧化绿色高效生产技术模式，建设示范点，实现产业应用示范。利用物联网设备和大数据、区块链</w:t>
      </w:r>
      <w:r>
        <w:rPr>
          <w:rFonts w:hint="default" w:ascii="Times New Roman" w:hAnsi="Times New Roman" w:eastAsia="仿宋_GB2312" w:cs="Times New Roman"/>
          <w:sz w:val="32"/>
          <w:szCs w:val="32"/>
          <w:u w:val="none"/>
          <w:lang w:eastAsia="zh-CN"/>
        </w:rPr>
        <w:t>、人工智能算法等</w:t>
      </w:r>
      <w:r>
        <w:rPr>
          <w:rFonts w:hint="default" w:ascii="Times New Roman" w:hAnsi="Times New Roman" w:eastAsia="仿宋_GB2312" w:cs="Times New Roman"/>
          <w:sz w:val="32"/>
          <w:szCs w:val="32"/>
          <w:u w:val="none"/>
        </w:rPr>
        <w:t>技术实现果蔬生产、加工、流通全过程的数据采集和记录并不可更改，</w:t>
      </w:r>
      <w:r>
        <w:rPr>
          <w:rFonts w:hint="default" w:ascii="Times New Roman" w:hAnsi="Times New Roman" w:eastAsia="仿宋_GB2312" w:cs="Times New Roman"/>
          <w:sz w:val="32"/>
          <w:szCs w:val="32"/>
          <w:u w:val="none"/>
          <w:lang w:eastAsia="zh-CN"/>
        </w:rPr>
        <w:t>并</w:t>
      </w:r>
      <w:r>
        <w:rPr>
          <w:rFonts w:hint="default" w:ascii="Times New Roman" w:hAnsi="Times New Roman" w:eastAsia="仿宋_GB2312" w:cs="Times New Roman"/>
          <w:sz w:val="32"/>
          <w:szCs w:val="32"/>
          <w:u w:val="none"/>
        </w:rPr>
        <w:t>进行可视化展示，分析历史销售数据和市场需求，提供针对性的市场销售预测和推荐策略。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研发梨或葡萄园远程实时监测果树生长与环境数据采集与分析系统1套，制定省级以上标准1~2项；申请发明专利3件以上；建设100亩核心示范基地2个以上（增加产量 10%以上，优质果率90%以上，节省劳动力投入30%以上，化学肥料和农药投入减少25%以上，经济效益提高10%以上）。建立果蔬大数据智慧管理平台1套。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9</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i w:val="0"/>
          <w:color w:val="000000"/>
          <w:kern w:val="0"/>
          <w:sz w:val="32"/>
          <w:szCs w:val="32"/>
          <w:u w:val="none"/>
          <w:lang w:val="en-US" w:eastAsia="zh-CN" w:bidi="ar"/>
        </w:rPr>
        <w:t>番</w:t>
      </w:r>
      <w:r>
        <w:rPr>
          <w:rFonts w:hint="default" w:ascii="Times New Roman" w:hAnsi="Times New Roman" w:eastAsia="仿宋_GB2312" w:cs="Times New Roman"/>
          <w:b/>
          <w:bCs/>
          <w:sz w:val="32"/>
          <w:szCs w:val="32"/>
          <w:u w:val="none"/>
        </w:rPr>
        <w:t>茄耐旱或耐涝种质筛选、创新及优质多抗新品种选育（青年科学家项目）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江西旱涝害等多发并严重危害番茄生产的问题，开展耐旱或耐涝、优质等重要性状的种质资源搜集以及表型和基因型精准鉴定评价，筛选目标性状突出的优异番茄种质资源；挖掘耐旱或耐涝、优质等性状的关键基因或位点，明确优异等位变异或单倍型的遗传效应和育种利用价值；利用基因编辑等技术开展快速分子育种，创新番茄种质，培育高品质</w:t>
      </w:r>
      <w:r>
        <w:rPr>
          <w:rFonts w:hint="default" w:ascii="Times New Roman" w:hAnsi="Times New Roman" w:eastAsia="仿宋_GB2312" w:cs="Times New Roman"/>
          <w:b w:val="0"/>
          <w:bCs w:val="0"/>
          <w:sz w:val="32"/>
          <w:szCs w:val="32"/>
          <w:u w:val="none"/>
        </w:rPr>
        <w:t>耐旱或</w:t>
      </w:r>
      <w:r>
        <w:rPr>
          <w:rFonts w:hint="default" w:ascii="Times New Roman" w:hAnsi="Times New Roman" w:eastAsia="仿宋_GB2312" w:cs="Times New Roman"/>
          <w:sz w:val="32"/>
          <w:szCs w:val="32"/>
          <w:u w:val="none"/>
        </w:rPr>
        <w:t>耐涝番茄新品种。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 xml:space="preserve">发掘耐旱或耐涝番茄种质3～5份，获得与耐旱或耐涝性状紧密关联的分子标记5个，发掘耐旱或耐涝关键基因4～6个；申请发明专利3件以上；创制高品质多抗种质20份，培育耐旱或耐涝、抗病、高品质番茄品种2个；优良番茄品种示范种植30亩以上。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10</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i w:val="0"/>
          <w:color w:val="000000"/>
          <w:kern w:val="0"/>
          <w:sz w:val="32"/>
          <w:szCs w:val="32"/>
          <w:u w:val="none"/>
          <w:lang w:val="en-US" w:eastAsia="zh-CN" w:bidi="ar"/>
        </w:rPr>
        <w:t>林</w:t>
      </w:r>
      <w:r>
        <w:rPr>
          <w:rFonts w:hint="default" w:ascii="Times New Roman" w:hAnsi="Times New Roman" w:eastAsia="仿宋_GB2312" w:cs="Times New Roman"/>
          <w:b/>
          <w:bCs/>
          <w:sz w:val="32"/>
          <w:szCs w:val="32"/>
          <w:u w:val="none"/>
        </w:rPr>
        <w:t>下食用菌高效育繁推关键技术研究与示范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针对江西林下食用菌优良品种缺乏、菌种繁育体系落后、栽培品种模式单一、高效栽培技术创新配套不足等问题，以羊肚菌、黑皮鸡枞、茶薪菇、竹荪等特色名优食用菌为研究对象，开展林下食用菌优良品种筛选</w:t>
      </w:r>
      <w:r>
        <w:rPr>
          <w:rFonts w:hint="default" w:ascii="Times New Roman" w:hAnsi="Times New Roman" w:eastAsia="仿宋_GB2312" w:cs="Times New Roman"/>
          <w:sz w:val="32"/>
          <w:szCs w:val="32"/>
          <w:u w:val="none"/>
          <w:lang w:eastAsia="zh-CN"/>
        </w:rPr>
        <w:t>或</w:t>
      </w:r>
      <w:r>
        <w:rPr>
          <w:rFonts w:hint="default" w:ascii="Times New Roman" w:hAnsi="Times New Roman" w:eastAsia="仿宋_GB2312" w:cs="Times New Roman"/>
          <w:sz w:val="32"/>
          <w:szCs w:val="32"/>
          <w:u w:val="none"/>
        </w:rPr>
        <w:t>选育、优质菌种规模化繁育技术、高效生态规范化栽培生产和病虫害绿色防控等研究；重点突破特色专用优良种质创新、良种繁育保供体系构建、高效生态栽培复合模式建立和病虫害绿色防控等关键技术；筛选并选育出适宜林下栽培生产的优良品种，开发良种规模化繁育技术和规范化高效栽培技术，研发病虫害绿色防控关键技术，构建良种“育繁推”一体化技术体系和林下食用菌高效生态复合栽培技术体系，建设栽培示范基地，实现产业化应用示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筛选选育食用菌优良品种3～4个；开发良种规模化繁育技术3～4项，研发高效栽培技术或绿色防控技术3～4项；制定地方标准或团体标准2～3项；建立栽培示范基地2～3个，栽培示范面积300亩以上；申请发明专利3～4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sz w:val="32"/>
          <w:szCs w:val="32"/>
          <w:u w:val="none"/>
          <w:lang w:eastAsia="zh-CN"/>
        </w:rPr>
      </w:pPr>
      <w:r>
        <w:rPr>
          <w:rFonts w:hint="default" w:ascii="Times New Roman" w:hAnsi="Times New Roman" w:eastAsia="黑体" w:cs="Times New Roman"/>
          <w:b w:val="0"/>
          <w:bCs w:val="0"/>
          <w:sz w:val="32"/>
          <w:szCs w:val="32"/>
          <w:u w:val="none"/>
          <w:lang w:eastAsia="zh-CN"/>
        </w:rPr>
        <w:t>四、畜牧产业新品种培育及高效养殖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pacing w:val="-11"/>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11. 改</w:t>
      </w:r>
      <w:r>
        <w:rPr>
          <w:rFonts w:hint="default" w:ascii="Times New Roman" w:hAnsi="Times New Roman" w:eastAsia="仿宋_GB2312" w:cs="Times New Roman"/>
          <w:b/>
          <w:bCs/>
          <w:spacing w:val="-11"/>
          <w:sz w:val="32"/>
          <w:szCs w:val="32"/>
          <w:u w:val="none"/>
        </w:rPr>
        <w:t>善母仔猪胃肠消化吸收功能的母仔一体化关键技术研究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我国母仔猪一体化标准饲喂技术缺乏等问题，探究母、仔猪不同的生理阶段肠道菌群结构变化规律，开发出新型天然植物及其活性物质产品；研究不同组合的天然植物产品和益生菌产品改善母猪肠道菌群结构的效果，进而加速仔猪肠道菌群稳态结构的形成；依据母、仔猪不同的生理阶段特点制定不同的营养方案，实现母猪饲料和仔猪饲料一体化设计，增强仔猪抵抗力，降低腹泻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研发母、仔猪一体化标准饲喂技术，制定地方标准≥2项；开发改善母猪肠道菌群结构的天然植物产品或益生菌≥3种；新技术、新产品推广不少于15000头能繁母猪，应用后母猪便秘减少，90%的母猪粪便评分达到3分的正常水平，母猪高峰期采食量平均达到7.5 kg/d，仔猪21d平均断奶重7 kg，断奶后7d平均日增重在300g以上，仔猪腹泻率降低到5%以内。</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12</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sz w:val="32"/>
          <w:szCs w:val="32"/>
          <w:u w:val="none"/>
        </w:rPr>
        <w:t>南方肉牛应激原组学解析与瘤胃微生物菌群研究（青年科学家项目）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肉牛生产过程中的热应激、运输应激、营养应激等应激管理技术和江西省抗应激产品研发不足的问题，以瘤胃微生物群体调控为靶向目标，采用多组学技术分析肉牛应激过渡期瘤胃微生物组、代谢组及宿主代谢组的动态变化规律，开展基于瘤胃微生物群体应答为基础的应激原组学研究，探究产生应激的典型微生物及其产生应激的机制，挖掘并验证导致瘤胃菌群紊乱的关键微生物菌株和代谢物，研发出防治肉牛瘤胃菌群紊乱的新型饲料添加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初步阐明产生应激的典型微生物及其产生应激的机制，筛选与应激相关微生物菌种5个；制定肉牛应激管理技术规程≥2项；开发肉牛健康高效养殖的新型饲料添加剂和缓解应激产品≥5种；研发饲料配方3个，申请发明专利3-5件；并应用推广肉牛1000头以上，牛群发病率下降10%，生长速度提升8%-10%，养殖效益提高5%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13</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i w:val="0"/>
          <w:color w:val="000000"/>
          <w:kern w:val="0"/>
          <w:sz w:val="32"/>
          <w:szCs w:val="32"/>
          <w:u w:val="none"/>
          <w:lang w:val="en-US" w:eastAsia="zh-CN" w:bidi="ar"/>
        </w:rPr>
        <w:t>江</w:t>
      </w:r>
      <w:r>
        <w:rPr>
          <w:rFonts w:hint="default" w:ascii="Times New Roman" w:hAnsi="Times New Roman" w:eastAsia="仿宋_GB2312" w:cs="Times New Roman"/>
          <w:b/>
          <w:bCs/>
          <w:sz w:val="32"/>
          <w:szCs w:val="32"/>
          <w:u w:val="none"/>
        </w:rPr>
        <w:t>西地方鸭新遗传资源保护与开发利用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江西地方鸭资源品种系谱不明、混乱、种质资源近交退化、杂化与资源枯竭的问题，基于表型比较和基因组测定以及生物信息分析技术，在保持江西地方鸭品种外观特性的基础上，开展基于全基因组水平的地方鸭遗传资源现有保种核心群的遗传多样性、血缘纯度、亲缘关系和遗</w:t>
      </w:r>
      <w:r>
        <w:rPr>
          <w:rFonts w:hint="default" w:ascii="Times New Roman" w:hAnsi="Times New Roman" w:eastAsia="仿宋_GB2312" w:cs="Times New Roman"/>
          <w:b w:val="0"/>
          <w:bCs w:val="0"/>
          <w:sz w:val="32"/>
          <w:szCs w:val="32"/>
          <w:u w:val="none"/>
          <w:lang w:val="en-US" w:eastAsia="zh-CN"/>
        </w:rPr>
        <w:t>传分化的评价、鉴定和发掘新遗传资源；建立活体保种核心群和DNA资</w:t>
      </w:r>
      <w:r>
        <w:rPr>
          <w:rFonts w:hint="default" w:ascii="Times New Roman" w:hAnsi="Times New Roman" w:eastAsia="仿宋_GB2312" w:cs="Times New Roman"/>
          <w:sz w:val="32"/>
          <w:szCs w:val="32"/>
          <w:u w:val="none"/>
        </w:rPr>
        <w:t>源库，建立明确的分子系谱；结合市场需求，开展基于地方鸭遗传资源的专门化品系选育，建立与专门化品系配套的养殖和生物安全防控技术体系。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鉴定新遗传资源或选育地方鸭专门化品系1～2个，建立1～2个地方鸭遗传资源分子核心保种群及其分子系谱，保种群母鸭数量300只以上，家系30个以上，每个家系公鸭2只以上，建立配套的养殖与生物安全防控技术2～3项；建立基于分子保种核心群和标准化饲养的地方标准及饲养规程各1～2项；申请发明专利1～2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sz w:val="32"/>
          <w:szCs w:val="32"/>
          <w:u w:val="none"/>
          <w:lang w:eastAsia="zh-CN"/>
        </w:rPr>
      </w:pPr>
      <w:r>
        <w:rPr>
          <w:rFonts w:hint="default" w:ascii="Times New Roman" w:hAnsi="Times New Roman" w:eastAsia="黑体" w:cs="Times New Roman"/>
          <w:b w:val="0"/>
          <w:bCs w:val="0"/>
          <w:sz w:val="32"/>
          <w:szCs w:val="32"/>
          <w:u w:val="none"/>
          <w:lang w:eastAsia="zh-CN"/>
        </w:rPr>
        <w:t>五、水产</w:t>
      </w:r>
      <w:r>
        <w:rPr>
          <w:rFonts w:hint="default" w:ascii="Times New Roman" w:hAnsi="Times New Roman" w:eastAsia="黑体" w:cs="Times New Roman"/>
          <w:b w:val="0"/>
          <w:bCs w:val="0"/>
          <w:sz w:val="32"/>
          <w:szCs w:val="32"/>
          <w:u w:val="none"/>
          <w:lang w:val="en-US" w:eastAsia="zh-CN"/>
        </w:rPr>
        <w:t>产业新品种培育及高效养殖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pacing w:val="-11"/>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14</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sz w:val="32"/>
          <w:szCs w:val="32"/>
          <w:u w:val="none"/>
        </w:rPr>
        <w:t>彭</w:t>
      </w:r>
      <w:r>
        <w:rPr>
          <w:rFonts w:hint="default" w:ascii="Times New Roman" w:hAnsi="Times New Roman" w:eastAsia="仿宋_GB2312" w:cs="Times New Roman"/>
          <w:b/>
          <w:bCs/>
          <w:spacing w:val="-11"/>
          <w:sz w:val="32"/>
          <w:szCs w:val="32"/>
          <w:u w:val="none"/>
        </w:rPr>
        <w:t>泽鲫抗病新品种选育及分子机制解析（青年科学家项目）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彭泽鲫孢子虫病害和出血病频发，防控难度大的难题，以抗病为目标，利用转录组、蛋白质组学、比较基因组学技术，解析抗孢子虫和抗病信号通路，鉴定调控元件。开展彭泽鲫全基因组关联分析和基因组选择技术研究，筛选彭泽鲫抗孢子虫和抗出血病相关分子标记进行辅助育种，建立彭泽鲫高效分子育种技术体系；培育抗病性能良好的彭泽鲫新品种（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开发与彭泽鲫抗病、生长性能等重要性状紧密连锁、育种价值明确的分子标记5个以上；解析抗孢子虫和抗出血病信号通路，鉴定关键调控元件；筛选出具有孢子虫和出血病抗性等位基因的F0、F1和F2群体均≥200组；培育抗病力强的新品种（系）2个以上，抗病力与普通彭泽鲫相比提高20%以上；申请专利2-3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15</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i w:val="0"/>
          <w:color w:val="000000"/>
          <w:kern w:val="0"/>
          <w:sz w:val="32"/>
          <w:szCs w:val="32"/>
          <w:u w:val="none"/>
          <w:lang w:val="en-US" w:eastAsia="zh-CN" w:bidi="ar"/>
        </w:rPr>
        <w:t>工厂</w:t>
      </w:r>
      <w:r>
        <w:rPr>
          <w:rFonts w:hint="default" w:ascii="Times New Roman" w:hAnsi="Times New Roman" w:eastAsia="仿宋_GB2312" w:cs="Times New Roman"/>
          <w:b/>
          <w:bCs/>
          <w:sz w:val="32"/>
          <w:szCs w:val="32"/>
          <w:u w:val="none"/>
        </w:rPr>
        <w:t>化养殖鳜、鲈寄生虫病害防控关键技术研究与应用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鳜、鲈工厂化养殖模式下，寄生虫特别是纤毛虫类疾病暴发严重，病害损失大等问题，开展寄生虫鉴定分类，来源追溯，病害致病机理、流行规律等研究；从源头水处理防虫、养殖水调控控虫、绿色高效药物开发治虫等方面开展寄生虫病的防控关键技术研究，实现鳜、鲈工厂化养殖寄生虫病害的有效防控。</w:t>
      </w:r>
      <w:r>
        <w:rPr>
          <w:rFonts w:hint="default" w:ascii="Times New Roman" w:hAnsi="Times New Roman" w:eastAsia="仿宋_GB2312" w:cs="Times New Roman"/>
          <w:sz w:val="32"/>
          <w:szCs w:val="32"/>
          <w:u w:val="none"/>
        </w:rPr>
        <w:tab/>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阐明工厂化养殖鳜、鲈寄生虫病致病机理和流行规律，建立工厂化养殖寄生虫病防控技术体系1-2套，寄生虫病暴发率较传统方法降低80%；开发绿色高效防治寄生虫鱼药配方1-2个；阐明寄生虫病致病机理和流行规律。申请国家专利≥6件，建立相关标准≥2项。</w:t>
      </w:r>
      <w:r>
        <w:rPr>
          <w:rFonts w:hint="default" w:ascii="Times New Roman" w:hAnsi="Times New Roman" w:eastAsia="仿宋_GB2312" w:cs="Times New Roman"/>
          <w:b w:val="0"/>
          <w:bCs w:val="0"/>
          <w:sz w:val="32"/>
          <w:szCs w:val="32"/>
          <w:u w:val="none"/>
          <w:lang w:val="en" w:eastAsia="zh-CN"/>
        </w:rPr>
        <w:t>建立示范应用基地3个，示范养殖水体每个600m3</w:t>
      </w:r>
      <w:r>
        <w:rPr>
          <w:rFonts w:hint="default" w:ascii="Times New Roman" w:hAnsi="Times New Roman" w:eastAsia="仿宋_GB2312" w:cs="Times New Roman"/>
          <w:b w:val="0"/>
          <w:bCs w:val="0"/>
          <w:sz w:val="32"/>
          <w:szCs w:val="32"/>
          <w:u w:val="none"/>
          <w:lang w:val="en-US" w:eastAsia="zh-CN"/>
        </w:rPr>
        <w:t>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sz w:val="32"/>
          <w:szCs w:val="32"/>
          <w:u w:val="none"/>
          <w:lang w:eastAsia="zh-CN"/>
        </w:rPr>
      </w:pPr>
      <w:r>
        <w:rPr>
          <w:rFonts w:hint="default" w:ascii="Times New Roman" w:hAnsi="Times New Roman" w:eastAsia="黑体" w:cs="Times New Roman"/>
          <w:b w:val="0"/>
          <w:bCs w:val="0"/>
          <w:sz w:val="32"/>
          <w:szCs w:val="32"/>
          <w:u w:val="none"/>
          <w:lang w:eastAsia="zh-CN"/>
        </w:rPr>
        <w:t>六、科技兴茶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16. 江</w:t>
      </w:r>
      <w:r>
        <w:rPr>
          <w:rFonts w:hint="default" w:ascii="Times New Roman" w:hAnsi="Times New Roman" w:eastAsia="仿宋_GB2312" w:cs="Times New Roman"/>
          <w:b/>
          <w:bCs/>
          <w:sz w:val="32"/>
          <w:szCs w:val="32"/>
          <w:u w:val="none"/>
        </w:rPr>
        <w:t>西茶树资源优良性状挖掘与新品种选育</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江西省茶树资源挖掘、资源利用不足，区域及特色良种缺乏，制约茶叶产品特色品质等问题，重点调查收集宁州群体等江西特色茶树资源，完善江西茶树资源分布种类和特征信息；开展茶树资源系统鉴定评价，挖掘品质优异、育芽能力强、芽叶整齐度好、产量高和抗逆性强等稳定农艺性状的优良种质；选育适宜机采、多抗与适制“浮梁茶”、“宁红茶”、“婺源绿茶”或“狗牯脑茶”等专用型品种，并建立配套的栽培与加工技术体系；采用代谢组、基因组等多组学现代技术揭示优良品种品质性状形成的生理机制，为品种高效利用提供重要理论支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异地栽培保存新增50份以上地方特色茶树资源，鉴定评价种质资源200份以上；选育适宜机采、抗性强的良种2～3个，特色专用茶树品种3～5个；完成品种登记3～6个；建立茶树新品种示范基地3～4个；开发茶叶新产品2～3个；制定产品标准或生产技术规程2～3项；申请发明专利2件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17</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i w:val="0"/>
          <w:color w:val="000000"/>
          <w:kern w:val="0"/>
          <w:sz w:val="32"/>
          <w:szCs w:val="32"/>
          <w:u w:val="none"/>
          <w:lang w:val="en-US" w:eastAsia="zh-CN" w:bidi="ar"/>
        </w:rPr>
        <w:t>江</w:t>
      </w:r>
      <w:r>
        <w:rPr>
          <w:rFonts w:hint="default" w:ascii="Times New Roman" w:hAnsi="Times New Roman" w:eastAsia="仿宋_GB2312" w:cs="Times New Roman"/>
          <w:b/>
          <w:bCs/>
          <w:sz w:val="32"/>
          <w:szCs w:val="32"/>
          <w:u w:val="none"/>
        </w:rPr>
        <w:t>西特色</w:t>
      </w:r>
      <w:r>
        <w:rPr>
          <w:rFonts w:hint="default" w:ascii="Times New Roman" w:hAnsi="Times New Roman" w:eastAsia="仿宋_GB2312" w:cs="Times New Roman"/>
          <w:b/>
          <w:bCs/>
          <w:sz w:val="32"/>
          <w:szCs w:val="32"/>
          <w:u w:val="none"/>
          <w:lang w:eastAsia="zh-CN"/>
        </w:rPr>
        <w:t>茶</w:t>
      </w:r>
      <w:r>
        <w:rPr>
          <w:rFonts w:hint="default" w:ascii="Times New Roman" w:hAnsi="Times New Roman" w:eastAsia="仿宋_GB2312" w:cs="Times New Roman"/>
          <w:b/>
          <w:bCs/>
          <w:sz w:val="32"/>
          <w:szCs w:val="32"/>
          <w:u w:val="none"/>
        </w:rPr>
        <w:t>产品加工关键技术研究与应用示范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江西特色茶资源产品创新不足、质量标准及感官品质评价标准缺失等问题，分析其化学组分、特征风味、营养功效等特性，明晰宁红茶、庐山云雾茶等江西特色茶化学成分赋存形态和转化规律，阐释风味品质的物质基础和协同作用机制；突破智能分级、保质发酵、高效调质、低损烘炒、典型风味精准控制、精制拼配等关键技术，研发高附加值产品</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研究江西特色茶产品机械化加工设备配套与工艺参数；突破品质数据挖掘与感官评价等关键技术，形成原料和产品品质定量评价标准。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建立江西特色茶物化特性基础数据库1个，数据库中化合物总数不低于200种，并对江西省2-3个特色茶产品提出数字化特征指标，明晰10种以上典型特征成分在加工过程中的转化规律；研发新技术≥3项；开发江西特色茶产品≥3种，产品中风味成分含量提高10%以上；制定技术规程或标准≥1项；在规模化以上企业建设示范生产线1条。申请发明专利≥3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bCs/>
          <w:sz w:val="32"/>
          <w:szCs w:val="32"/>
          <w:u w:val="none"/>
          <w:lang w:eastAsia="zh-CN"/>
        </w:rPr>
      </w:pPr>
      <w:r>
        <w:rPr>
          <w:rFonts w:hint="default" w:ascii="Times New Roman" w:hAnsi="Times New Roman" w:eastAsia="黑体" w:cs="Times New Roman"/>
          <w:b w:val="0"/>
          <w:bCs w:val="0"/>
          <w:sz w:val="32"/>
          <w:szCs w:val="32"/>
          <w:u w:val="none"/>
          <w:lang w:eastAsia="zh-CN"/>
        </w:rPr>
        <w:t>七、农产品加工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18</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sz w:val="32"/>
          <w:szCs w:val="32"/>
          <w:u w:val="none"/>
        </w:rPr>
        <w:t>水产食品提质增效减损关键技术研究及产业化示范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江西省水产食品同质化严重、加工效率低、副产物损失大等问题，突破低温高湿循环解冻、高效呼吸式滚揉腌制、柔性加工保色护形、多维协同保鲜等提质增效关键加工技术，开发风味高保真水产加工产品；突破鱼皮鱼鳞、壳等水产品加工副产物中活性物质的梯次高效提取、自组装螯合等高效综合利用技术，研发冷水溶蛋白胶、甲壳糖钙等高附加值产品，并在相关企业进行示范推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研发提质增效、高效提取等关键新技术≥4项；开发风味鱼类、特色甲鱼、多味小龙虾等特色水产品加工新食品和综合利用新产品≥3种，风味产品保真率达到80%以上；锁鲜产品货架期≥12天；冷水溶蛋白胶溶解温度≤35℃；甲壳糖钙吸收度≥40%；副产物综合利用率提高20%，申请发明专利3～5件，建立示范生产线1～2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19</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sz w:val="32"/>
          <w:szCs w:val="32"/>
          <w:u w:val="none"/>
        </w:rPr>
        <w:t>特色粮油加工增值关键技术研究与应用示范（青年科学家项目）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江西水稻、油茶、油菜等特色优势粮油资源加工转化少、副产物利用率低、产品功能性差及同质化严重等问题，开展不同原料品质特性与加工适宜性的关联研究，创制营养素保留率高的高品质食品；突破油料稳态预处理、油脂绿色制取与精炼等关键技术，制备营养与加工特性双保障的优质健康型与专用型油脂产品；研究油料加工副产物组分高效分离、功能活性保留等关键技术，提升副产物综合利用率；开发一批高值化新产品，实现产业化示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研发特色粮油加工增值新技术≥2项；开发高值化新产品≥5种，大宗稻米、油脂产品加工营养素损失降低30%以上，能耗降低15%以上；在规模化以上企业建设示范生产线1～2条。申请发明专利2～3件，制定标准不低于3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20</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i w:val="0"/>
          <w:color w:val="000000"/>
          <w:kern w:val="0"/>
          <w:sz w:val="32"/>
          <w:szCs w:val="32"/>
          <w:u w:val="none"/>
          <w:lang w:val="en-US" w:eastAsia="zh-CN" w:bidi="ar"/>
        </w:rPr>
        <w:t>肉</w:t>
      </w:r>
      <w:r>
        <w:rPr>
          <w:rFonts w:hint="default" w:ascii="Times New Roman" w:hAnsi="Times New Roman" w:eastAsia="仿宋_GB2312" w:cs="Times New Roman"/>
          <w:b/>
          <w:bCs/>
          <w:sz w:val="32"/>
          <w:szCs w:val="32"/>
          <w:u w:val="none"/>
        </w:rPr>
        <w:t>类保鲜与肉制品加工关键技术研发及产业化示范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生鲜肉类保质期短，肉制品品质不高及同质化严重等问题，研究屠宰全过程表面微生物组成的时空变化规律，以及屠宰工艺对胴体表面优势微生物生长的影响机制，研发屠宰分割与冷却成熟全生产过程微生物减控技术，减少白条肉及分割肉表面初始菌数；多技术集成应用，将抑菌垫、抗菌薄膜、气调或真空包装、物理场等保鲜技术及过程质量控制规范集成形成综合保鲜技术，实现冷鲜肉的多维锁鲜与货架期延长。以标准化生产解决产品质构、风味和营养的保持问题，创制肉类及动物性副产品预制菜和方便食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研发基于运用薄膜、垫片、气调场景或物理场下的保鲜技术≥2项，开发抑菌材料≥1种；建立基于屠宰过程减菌、气体环境控制、抗菌技术和生产规范等的全程质量安全控制和品质保持技术体系1套；生鲜牛羊肉保质期≥30天、生鲜禽肉保质期≥7天；制定技术规程或标准≥2项；开发新产品≥10种；申请发明专利≥3件；开展产业化示范应用≥2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21</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i w:val="0"/>
          <w:color w:val="000000"/>
          <w:kern w:val="0"/>
          <w:sz w:val="32"/>
          <w:szCs w:val="32"/>
          <w:u w:val="none"/>
          <w:lang w:val="en-US" w:eastAsia="zh-CN" w:bidi="ar"/>
        </w:rPr>
        <w:t>罗</w:t>
      </w:r>
      <w:r>
        <w:rPr>
          <w:rFonts w:hint="default" w:ascii="Times New Roman" w:hAnsi="Times New Roman" w:eastAsia="仿宋_GB2312" w:cs="Times New Roman"/>
          <w:b/>
          <w:bCs/>
          <w:sz w:val="32"/>
          <w:szCs w:val="32"/>
          <w:u w:val="none"/>
        </w:rPr>
        <w:t>霄山脉地区土特优健康食品标准化加工关键技术研究与应用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针对罗霄山脉地区土特优健康食品种类多，但营养机制不清、加工工艺不统一、产品质量标准缺乏等关键问题，研究</w:t>
      </w:r>
      <w:r>
        <w:rPr>
          <w:rFonts w:hint="default" w:ascii="Times New Roman" w:hAnsi="Times New Roman" w:eastAsia="仿宋_GB2312" w:cs="Times New Roman"/>
          <w:sz w:val="32"/>
          <w:szCs w:val="32"/>
          <w:u w:val="none"/>
          <w:lang w:eastAsia="zh-CN"/>
        </w:rPr>
        <w:t>罗霄山脉地区特色</w:t>
      </w:r>
      <w:r>
        <w:rPr>
          <w:rFonts w:hint="default" w:ascii="Times New Roman" w:hAnsi="Times New Roman" w:eastAsia="仿宋_GB2312" w:cs="Times New Roman"/>
          <w:sz w:val="32"/>
          <w:szCs w:val="32"/>
          <w:u w:val="none"/>
        </w:rPr>
        <w:t>资源在加工过程中品质形成的营养功能物质基础；解析不同品种原料在加工过程中的适应性及其品质调控的分子机制；</w:t>
      </w:r>
      <w:r>
        <w:rPr>
          <w:rFonts w:hint="default" w:ascii="Times New Roman" w:hAnsi="Times New Roman" w:eastAsia="仿宋_GB2312" w:cs="Times New Roman"/>
          <w:sz w:val="32"/>
          <w:szCs w:val="32"/>
          <w:u w:val="none"/>
          <w:lang w:eastAsia="zh-CN"/>
        </w:rPr>
        <w:t>构建</w:t>
      </w:r>
      <w:r>
        <w:rPr>
          <w:rFonts w:hint="default" w:ascii="Times New Roman" w:hAnsi="Times New Roman" w:eastAsia="仿宋_GB2312" w:cs="Times New Roman"/>
          <w:sz w:val="32"/>
          <w:szCs w:val="32"/>
          <w:u w:val="none"/>
        </w:rPr>
        <w:t>土特优食品标准化加工工艺与评价体系，建立土特优食品标准化加工生产线，构建土特优健康食品原料生产与加工于一体的全产业链标准化示范基地。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阐明3种土特优健康食品的营养功能物质基础；优选加工用原料最适品种各1个；形成标准化加工工艺各1套，分别建立标准化生产线各1-2条；形成技术规程3项，申请专利2-3件。</w:t>
      </w:r>
    </w:p>
    <w:p>
      <w:pPr>
        <w:keepNext w:val="0"/>
        <w:keepLines w:val="0"/>
        <w:pageBreakBefore w:val="0"/>
        <w:widowControl w:val="0"/>
        <w:kinsoku/>
        <w:wordWrap/>
        <w:overflowPunct/>
        <w:topLinePunct w:val="0"/>
        <w:autoSpaceDE/>
        <w:autoSpaceDN/>
        <w:bidi w:val="0"/>
        <w:adjustRightInd/>
        <w:snapToGrid/>
        <w:spacing w:line="580" w:lineRule="exact"/>
        <w:ind w:firstLine="722"/>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22</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i w:val="0"/>
          <w:color w:val="000000"/>
          <w:kern w:val="0"/>
          <w:sz w:val="32"/>
          <w:szCs w:val="32"/>
          <w:u w:val="none"/>
          <w:lang w:val="en-US" w:eastAsia="zh-CN" w:bidi="ar"/>
        </w:rPr>
        <w:t>食</w:t>
      </w:r>
      <w:r>
        <w:rPr>
          <w:rFonts w:hint="default" w:ascii="Times New Roman" w:hAnsi="Times New Roman" w:eastAsia="仿宋_GB2312" w:cs="Times New Roman"/>
          <w:b/>
          <w:bCs/>
          <w:sz w:val="32"/>
          <w:szCs w:val="32"/>
          <w:u w:val="none"/>
        </w:rPr>
        <w:t>药同源物料智能化干燥加工关键共性技术</w:t>
      </w:r>
    </w:p>
    <w:p>
      <w:pPr>
        <w:keepNext w:val="0"/>
        <w:keepLines w:val="0"/>
        <w:pageBreakBefore w:val="0"/>
        <w:widowControl w:val="0"/>
        <w:kinsoku/>
        <w:wordWrap/>
        <w:overflowPunct/>
        <w:topLinePunct w:val="0"/>
        <w:autoSpaceDE/>
        <w:autoSpaceDN/>
        <w:bidi w:val="0"/>
        <w:adjustRightInd/>
        <w:snapToGrid/>
        <w:spacing w:line="580" w:lineRule="exact"/>
        <w:ind w:firstLine="722"/>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黄精、山药、栀子、铁皮石斛等江西典型食药同源物料干燥加工产业普遍存在的智能化程度低导致的加工效率低、品质劣变严重、损耗高等突出问题，研究食药同源物料干燥加工过程中品质变化规律，探明降低功能性成分损失、提高效率与能量利用的机制；研发基于多元传感与机器视觉的加工环境与物料状态参数的在线监测技术，实现干燥过程的数字化；构建基于自适应控制的食药同源物料干燥过程动态调控策略，突破食药同源物料干燥过程信息分析推理与决策的多目标智能化干燥共性技术，开发适应于不同食药同源产品的智能化均匀干燥过程调控技术，并实现产业化应用。</w:t>
      </w:r>
    </w:p>
    <w:p>
      <w:pPr>
        <w:keepNext w:val="0"/>
        <w:keepLines w:val="0"/>
        <w:pageBreakBefore w:val="0"/>
        <w:widowControl w:val="0"/>
        <w:kinsoku/>
        <w:wordWrap/>
        <w:overflowPunct/>
        <w:topLinePunct w:val="0"/>
        <w:autoSpaceDE/>
        <w:autoSpaceDN/>
        <w:bidi w:val="0"/>
        <w:adjustRightInd/>
        <w:snapToGrid/>
        <w:spacing w:line="580" w:lineRule="exact"/>
        <w:ind w:firstLine="722"/>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解析典型食药同源物料干燥加工过程中品质变化规律，研发食药同源物料智能化干燥加工共性技术≥3项；开发新型优质干制品2-3种，与现有主流技术相比，标志性营养成分提高10%以上，加工效率提高10%以上；申请发明专利≥3件；在龙头企业进行示范应用，建立生产示范线1-2条，形成技术标准1-2项。</w:t>
      </w:r>
    </w:p>
    <w:p>
      <w:pPr>
        <w:keepNext w:val="0"/>
        <w:keepLines w:val="0"/>
        <w:pageBreakBefore w:val="0"/>
        <w:widowControl w:val="0"/>
        <w:kinsoku/>
        <w:wordWrap/>
        <w:overflowPunct/>
        <w:topLinePunct w:val="0"/>
        <w:autoSpaceDE/>
        <w:autoSpaceDN/>
        <w:bidi w:val="0"/>
        <w:adjustRightInd/>
        <w:snapToGrid/>
        <w:spacing w:line="580" w:lineRule="exact"/>
        <w:ind w:firstLine="722"/>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23</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i w:val="0"/>
          <w:color w:val="000000"/>
          <w:kern w:val="0"/>
          <w:sz w:val="32"/>
          <w:szCs w:val="32"/>
          <w:u w:val="none"/>
          <w:lang w:val="en-US" w:eastAsia="zh-CN" w:bidi="ar"/>
        </w:rPr>
        <w:t>江</w:t>
      </w:r>
      <w:r>
        <w:rPr>
          <w:rFonts w:hint="default" w:ascii="Times New Roman" w:hAnsi="Times New Roman" w:eastAsia="仿宋_GB2312" w:cs="Times New Roman"/>
          <w:b/>
          <w:bCs/>
          <w:sz w:val="32"/>
          <w:szCs w:val="32"/>
          <w:u w:val="none"/>
        </w:rPr>
        <w:t>西特色竹笋资源废弃物高值化利用的关键技术研究及产业化</w:t>
      </w:r>
    </w:p>
    <w:p>
      <w:pPr>
        <w:keepNext w:val="0"/>
        <w:keepLines w:val="0"/>
        <w:pageBreakBefore w:val="0"/>
        <w:widowControl w:val="0"/>
        <w:kinsoku/>
        <w:wordWrap/>
        <w:overflowPunct/>
        <w:topLinePunct w:val="0"/>
        <w:autoSpaceDE/>
        <w:autoSpaceDN/>
        <w:bidi w:val="0"/>
        <w:adjustRightInd/>
        <w:snapToGrid/>
        <w:spacing w:line="580" w:lineRule="exact"/>
        <w:ind w:firstLine="722"/>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江西竹笋资源排在全国前列，多用于制作餐桌美食，其应用范围十分有限，除可食部分外的大部分竹笋由于木质化严重、组织结构粗糙坚硬、纤维素含量高、口感差，加工受到限制，常被当作废弃物直接丢弃，造成资源浪费严重。针对此种现象，根据废弃物资源的理化和生物特性，研制一套连续提取其中活性成分的方法，连续、合理开发和利用竹笋中丰富的蛋白质和膳食纤维；根据不同活性成分，创制多种组分明确、功能优异的健康食品，同时建立一套功能性产品评价体系，形成系统的“产地-餐桌”生产一体化关键技术，实现产业化应用。</w:t>
      </w:r>
    </w:p>
    <w:p>
      <w:pPr>
        <w:keepNext w:val="0"/>
        <w:keepLines w:val="0"/>
        <w:pageBreakBefore w:val="0"/>
        <w:widowControl w:val="0"/>
        <w:kinsoku/>
        <w:wordWrap/>
        <w:overflowPunct/>
        <w:topLinePunct w:val="0"/>
        <w:autoSpaceDE/>
        <w:autoSpaceDN/>
        <w:bidi w:val="0"/>
        <w:adjustRightInd/>
        <w:snapToGrid/>
        <w:spacing w:line="580" w:lineRule="exact"/>
        <w:ind w:firstLine="722"/>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利用竹笋废弃物开发高附加值产品≥2种，产品主要功能成分生物利用度提高10%以上；申请发明专利1-2件；在规模以上企业建立生产示范性1-2条；制定团体标准1-2项。</w:t>
      </w:r>
    </w:p>
    <w:p>
      <w:pPr>
        <w:keepNext w:val="0"/>
        <w:keepLines w:val="0"/>
        <w:pageBreakBefore w:val="0"/>
        <w:widowControl w:val="0"/>
        <w:kinsoku/>
        <w:wordWrap/>
        <w:overflowPunct/>
        <w:topLinePunct w:val="0"/>
        <w:autoSpaceDE/>
        <w:autoSpaceDN/>
        <w:bidi w:val="0"/>
        <w:adjustRightInd/>
        <w:snapToGrid/>
        <w:spacing w:line="580" w:lineRule="exact"/>
        <w:ind w:firstLine="722"/>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24</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sz w:val="32"/>
          <w:szCs w:val="32"/>
          <w:u w:val="none"/>
        </w:rPr>
        <w:t>富含铁皮石斛多糖营养健康食品创制与产业化</w:t>
      </w:r>
    </w:p>
    <w:p>
      <w:pPr>
        <w:keepNext w:val="0"/>
        <w:keepLines w:val="0"/>
        <w:pageBreakBefore w:val="0"/>
        <w:widowControl w:val="0"/>
        <w:kinsoku/>
        <w:wordWrap/>
        <w:overflowPunct/>
        <w:topLinePunct w:val="0"/>
        <w:autoSpaceDE/>
        <w:autoSpaceDN/>
        <w:bidi w:val="0"/>
        <w:adjustRightInd/>
        <w:snapToGrid/>
        <w:spacing w:line="580" w:lineRule="exact"/>
        <w:ind w:firstLine="722"/>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江西特有铁皮石斛资源的优势特色不明确、精深加工技术粗糙、高值化产品缺乏等行业共性问题，开展铁皮石斛资源的优势活性成分挖掘和系列高值化营养健康产品创制及产业化工作。解析江西铁皮石斛资源的种质特点，阐明关键功效成分及其优势活性；探明铁皮石斛原浆中多糖含量与溶液稳定性、均匀性及流变特性的适配规律，突破高多糖含量、高粘性铁皮石斛原浆的稳定均匀制备技术；基于多组分互作原理阐明高粘性多糖在水溶液中的溶解机制，实现高多糖含量铁皮石斛速溶粉剂的清洁制备；将食疗理念与现代营养学相结合，形成具有改善肠道功能、增强免疫力的营养健康食品配方，并重点石斛多糖在冲调类、饼干类等新型健康食品中存在的剂型稳态化问题，实现可满足不同人群需求的富含铁皮石斛多糖营养健康食品创制与产业化。</w:t>
      </w:r>
    </w:p>
    <w:p>
      <w:pPr>
        <w:keepNext w:val="0"/>
        <w:keepLines w:val="0"/>
        <w:pageBreakBefore w:val="0"/>
        <w:widowControl w:val="0"/>
        <w:kinsoku/>
        <w:wordWrap/>
        <w:overflowPunct/>
        <w:topLinePunct w:val="0"/>
        <w:autoSpaceDE/>
        <w:autoSpaceDN/>
        <w:bidi w:val="0"/>
        <w:adjustRightInd/>
        <w:snapToGrid/>
        <w:spacing w:line="580" w:lineRule="exact"/>
        <w:ind w:firstLine="722"/>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sz w:val="32"/>
          <w:szCs w:val="32"/>
          <w:u w:val="none"/>
        </w:rPr>
        <w:t>明</w:t>
      </w:r>
      <w:r>
        <w:rPr>
          <w:rFonts w:hint="default" w:ascii="Times New Roman" w:hAnsi="Times New Roman" w:eastAsia="仿宋_GB2312" w:cs="Times New Roman"/>
          <w:b w:val="0"/>
          <w:bCs w:val="0"/>
          <w:sz w:val="32"/>
          <w:szCs w:val="32"/>
          <w:u w:val="none"/>
          <w:lang w:val="en-US" w:eastAsia="zh-CN"/>
        </w:rPr>
        <w:t>确铁皮石斛特有或优势活性物质5种（类），形成富含多糖高粘性铁皮石斛原浆制备技术1项；开发富含多糖铁皮石斛速溶粉剂制备技术1项，粉剂多糖含量不低于50%、溶解时间不高于60秒；创制富含铁皮石斛多糖营养健康食品2-3种；申请发明专利不少于3件；在1-2家规模以上企业转化应用，累计新增产值1000万元以上，建立技术标准1-2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25</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sz w:val="32"/>
          <w:szCs w:val="32"/>
          <w:u w:val="none"/>
        </w:rPr>
        <w:t>竹材加工先进制造技术集成及高附加值产品研发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目前竹子价格低、浪费资源，传统竹制品科技水平低、附加值不高、竹材综合利用率低的问题，开展竹材热处理绿色防霉关键技术研究、竹材无机晶体-有机聚合物浸渍改性关键技术研究和竹基高性能纤维优化组坯复合关键技术研究，提高竹材的综合利用率，避免竹材资源浪费；提升竹材加工科技水平，制备高性能和高附加值的竹基新产品</w:t>
      </w:r>
      <w:r>
        <w:rPr>
          <w:rFonts w:hint="default" w:ascii="Times New Roman" w:hAnsi="Times New Roman" w:eastAsia="仿宋_GB2312" w:cs="Times New Roman"/>
          <w:sz w:val="32"/>
          <w:szCs w:val="32"/>
          <w:u w:val="none"/>
          <w:lang w:eastAsia="zh-CN"/>
        </w:rPr>
        <w:t>，建立示范生产线</w:t>
      </w:r>
      <w:r>
        <w:rPr>
          <w:rFonts w:hint="default" w:ascii="Times New Roman" w:hAnsi="Times New Roman" w:eastAsia="仿宋_GB2312" w:cs="Times New Roman"/>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获得竹材热处理绿色防霉关键技术1套，防霉防变色性能依据国标《防霉剂对木材霉菌及变色菌防治效力的试验方法》≤1级；获得竹材高性能改性关键技术1～2项，进一步提高竹板材各项性能，包括:静曲强度≥85MPa、弹性模量≥10000MPa、水平剪切强度≥10MPa、吸水厚度膨胀率≤8%，同时板材的甲醛释放限量值≤0.05mg/m³，阻燃性能不低于国标《建筑材料及制品燃烧性能分级》中B1级；获得竹基高性能纤维优化组坯复合关键技术1套，开发竹材与玄武岩纤维、玻璃纤维等高性能纤维优化组坯复合新产品1～2个。申请专利≥3件，建立中试示范生产线1～2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26. 高性</w:t>
      </w:r>
      <w:r>
        <w:rPr>
          <w:rFonts w:hint="default" w:ascii="Times New Roman" w:hAnsi="Times New Roman" w:eastAsia="仿宋_GB2312" w:cs="Times New Roman"/>
          <w:b/>
          <w:sz w:val="32"/>
          <w:szCs w:val="32"/>
          <w:u w:val="none"/>
        </w:rPr>
        <w:t>能结构竹材的制备技术及应用示范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sz w:val="32"/>
          <w:szCs w:val="32"/>
          <w:u w:val="none"/>
        </w:rPr>
        <w:t>研究内容：</w:t>
      </w:r>
      <w:r>
        <w:rPr>
          <w:rFonts w:hint="default" w:ascii="Times New Roman" w:hAnsi="Times New Roman" w:eastAsia="仿宋_GB2312" w:cs="Times New Roman"/>
          <w:b w:val="0"/>
          <w:sz w:val="32"/>
          <w:szCs w:val="32"/>
          <w:u w:val="none"/>
        </w:rPr>
        <w:t>针对竹加工的产品由于力学性能变异性大</w:t>
      </w:r>
      <w:r>
        <w:rPr>
          <w:rFonts w:hint="default" w:ascii="Times New Roman" w:hAnsi="Times New Roman" w:eastAsia="仿宋_GB2312" w:cs="Times New Roman"/>
          <w:sz w:val="32"/>
          <w:szCs w:val="32"/>
          <w:u w:val="none"/>
        </w:rPr>
        <w:t>、高附加值产品工业化生产能力不足</w:t>
      </w:r>
      <w:r>
        <w:rPr>
          <w:rFonts w:hint="default" w:ascii="Times New Roman" w:hAnsi="Times New Roman" w:eastAsia="仿宋_GB2312" w:cs="Times New Roman"/>
          <w:b w:val="0"/>
          <w:sz w:val="32"/>
          <w:szCs w:val="32"/>
          <w:u w:val="none"/>
        </w:rPr>
        <w:t>等问题，</w:t>
      </w:r>
      <w:r>
        <w:rPr>
          <w:rFonts w:hint="default" w:ascii="Times New Roman" w:hAnsi="Times New Roman" w:eastAsia="仿宋_GB2312" w:cs="Times New Roman"/>
          <w:sz w:val="32"/>
          <w:szCs w:val="32"/>
          <w:u w:val="none"/>
        </w:rPr>
        <w:t>开发出大尺寸竹单元高效加工及处理技术、大尺寸构件接口机械化加工及单元快速拼装技术、大尺寸构件一次成型压制技术，实现材料及构件的安全和可靠；揭示材料及构件的破坏机理，构建材料关键力学性能指标，提出构件设计方法，实现结构用材料及构件的质量可控；提出装配化竹集成材结构体系设计方法，形成装配化竹集成材结构体系快速组装技术，实现工业化生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sz w:val="32"/>
          <w:szCs w:val="32"/>
          <w:u w:val="none"/>
        </w:rPr>
        <w:t>考核指标：</w:t>
      </w:r>
      <w:r>
        <w:rPr>
          <w:rFonts w:hint="default" w:ascii="Times New Roman" w:hAnsi="Times New Roman" w:eastAsia="仿宋_GB2312" w:cs="Times New Roman"/>
          <w:b w:val="0"/>
          <w:bCs w:val="0"/>
          <w:sz w:val="32"/>
          <w:szCs w:val="32"/>
          <w:u w:val="none"/>
          <w:lang w:val="en-US" w:eastAsia="zh-CN"/>
        </w:rPr>
        <w:t>大尺寸竹单元接口一次加工成型技术及快速拼装相关装备1-2台套；一次压制成型装备1-2台套；开发大尺寸竹结构单元制造关键技术1-2项；实现一次压制16米以上竹结构材，压制的竹结构材抗压强度80MPa以上，抗弯强度100MPa以上，顺纹抗拉强度150 MPa以上。制订标准1-2项，申请专利≥5件，建成年产1万立方米以上高性能竹集成材示范线1-2条。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sz w:val="32"/>
          <w:szCs w:val="32"/>
          <w:u w:val="none"/>
          <w:lang w:val="en-US" w:eastAsia="zh-CN"/>
        </w:rPr>
      </w:pPr>
      <w:r>
        <w:rPr>
          <w:rFonts w:hint="default" w:ascii="Times New Roman" w:hAnsi="Times New Roman" w:eastAsia="黑体" w:cs="Times New Roman"/>
          <w:b w:val="0"/>
          <w:bCs w:val="0"/>
          <w:sz w:val="32"/>
          <w:szCs w:val="32"/>
          <w:u w:val="none"/>
          <w:lang w:val="en-US" w:eastAsia="zh-CN"/>
        </w:rPr>
        <w:t>八、农机装备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27</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i w:val="0"/>
          <w:color w:val="000000"/>
          <w:kern w:val="0"/>
          <w:sz w:val="32"/>
          <w:szCs w:val="32"/>
          <w:u w:val="none"/>
          <w:lang w:val="en-US" w:eastAsia="zh-CN" w:bidi="ar"/>
        </w:rPr>
        <w:t>水稻</w:t>
      </w:r>
      <w:r>
        <w:rPr>
          <w:rFonts w:hint="default" w:ascii="Times New Roman" w:hAnsi="Times New Roman" w:eastAsia="仿宋_GB2312" w:cs="Times New Roman"/>
          <w:b/>
          <w:bCs/>
          <w:sz w:val="32"/>
          <w:szCs w:val="32"/>
          <w:u w:val="none"/>
        </w:rPr>
        <w:t>育秧炼苗环节高效摆盘和起盘机装备研究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水稻工厂化育秧炼苗环节摆盘、起盘用工大、效率低、劳动强度大等问题，研发水稻工厂化育秧高效摆盘技术，重点突破柔性高效分盘摆盘、精准定位摆盘等关键技术，开发柔性高效分盘装置、轨道式定位摆盘装置，研发及熟化定型适宜水稻工厂化育秧的高效摆盘机；研发水稻工厂化育秧低损高效起盘技术，重点突破低损高效起盘、苗盘低损分离、秧苗柔性成卷、秧盘自动叠盘、多模块协同控制等关键技术，开发低损高效起盘、苗盘分离、定位输送、秧苗成卷、自动叠盘等多行协同作业关键部件，研制定型适宜水稻工厂化育秧的低损高效起盘机；制定机械化生产技术规范，完成产业化开发并实现生产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研发水稻工厂化育秧炼苗环节摆盘机1台（套）、起盘机1台（套）。摆盘机：①摆盘作业效率≥300盘/时；②摆盘成功率≥97%；③摆盘定位误差≤±2cm。起盘机：①起盘作业效率≥250盘/小时；②起盘成功率≥97%；③秧盘损耗率≤3%。完成产品鉴定或装备转化1-2项，推广应用20台（套）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28</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i w:val="0"/>
          <w:color w:val="000000"/>
          <w:kern w:val="0"/>
          <w:sz w:val="32"/>
          <w:szCs w:val="32"/>
          <w:u w:val="none"/>
          <w:lang w:val="en-US" w:eastAsia="zh-CN" w:bidi="ar"/>
        </w:rPr>
        <w:t>丘陵</w:t>
      </w:r>
      <w:r>
        <w:rPr>
          <w:rFonts w:hint="default" w:ascii="Times New Roman" w:hAnsi="Times New Roman" w:eastAsia="仿宋_GB2312" w:cs="Times New Roman"/>
          <w:b/>
          <w:bCs/>
          <w:sz w:val="32"/>
          <w:szCs w:val="32"/>
          <w:u w:val="none"/>
        </w:rPr>
        <w:t>山区双季水稻生产全程轻简智能化关键装备研发与示范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根据我省丘陵山区地形、地貌特点，以轻型、高效、智能化为目标，围绕丘陵山区双季水稻机械化种植环节，重点突破钵体苗低损高效有序抛秧等关键技术，集成开发环境识别、导航避障、路径规划等自主驾驶技术，研制适宜丘陵山区双季水稻的智能化小型插秧机和钵体苗有序抛秧机，基于农机农艺融合，选型适宜丘陵山区水稻耕整、田间管理、收获等装备，构建丘陵山区双季水稻全程轻简机械化用机方案及生产技术模式，提升丘陵山区生产机械化水平和生产效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lang w:val="en-US" w:eastAsia="zh-CN"/>
        </w:rPr>
        <w:t>研制适宜丘陵山区双季水稻的小型插秧机、小型钵体苗有序抛秧机等智能装备2种，作业行数≤4行，伤苗率≤3%，漏栽（抛）率≤5%；开发自主驾驶技术1套，直线路径跟踪精度≤5cm；形成适宜丘陵山区双季水稻全程轻简机械化用机方案及生产技术模式1套；建立百亩以上连片试验示范基地2个，经济效益提高10%以上；申请发明专利1～2件；制定地方标准1～2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29</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i w:val="0"/>
          <w:color w:val="000000"/>
          <w:kern w:val="0"/>
          <w:sz w:val="32"/>
          <w:szCs w:val="32"/>
          <w:u w:val="none"/>
          <w:lang w:val="en-US" w:eastAsia="zh-CN" w:bidi="ar"/>
        </w:rPr>
        <w:t>油</w:t>
      </w:r>
      <w:r>
        <w:rPr>
          <w:rFonts w:hint="default" w:ascii="Times New Roman" w:hAnsi="Times New Roman" w:eastAsia="仿宋_GB2312" w:cs="Times New Roman"/>
          <w:b/>
          <w:bCs/>
          <w:sz w:val="32"/>
          <w:szCs w:val="32"/>
          <w:u w:val="none"/>
        </w:rPr>
        <w:t>菜移栽施肥一体机的研制与农机农艺融合技术应用与示范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油菜施肥长期依靠人工，施肥机械化长期得不到解决，油菜氮肥利用率普遍较低和难以提高等难题，开展油菜移栽施肥一体机的研制，研究油菜移栽、施肥等农机农艺融合技术，明确移栽油菜机械施肥部位和深度等关键技术问题，比较不同种类肥料的释放情况与油菜需肥规律的匹配程度，筛选适合油菜机械施肥的油菜专用肥，揭示移栽油菜机械施肥的增产机理、肥料最佳施肥量以及减肥增效机理，探明油菜移栽施肥一体化对较大幅度提高油菜氮肥当季利用率的作用，以及减少氮肥损失，形成完整、可靠的适宜我省油菜主产区的移栽油菜全程机械化种植关键技术和配套的技术规范，并进行大面积的示范推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rPr>
        <w:t>研制油菜移栽施肥一体机样机</w:t>
      </w:r>
      <w:r>
        <w:rPr>
          <w:rFonts w:hint="default" w:ascii="Times New Roman" w:hAnsi="Times New Roman" w:eastAsia="仿宋_GB2312" w:cs="Times New Roman"/>
          <w:b w:val="0"/>
          <w:bCs w:val="0"/>
          <w:sz w:val="32"/>
          <w:szCs w:val="32"/>
          <w:u w:val="none"/>
          <w:lang w:val="en-US" w:eastAsia="zh-CN"/>
        </w:rPr>
        <w:t>2</w:t>
      </w:r>
      <w:r>
        <w:rPr>
          <w:rFonts w:hint="default" w:ascii="Times New Roman" w:hAnsi="Times New Roman" w:eastAsia="仿宋_GB2312" w:cs="Times New Roman"/>
          <w:b w:val="0"/>
          <w:bCs w:val="0"/>
          <w:sz w:val="32"/>
          <w:szCs w:val="32"/>
          <w:u w:val="none"/>
        </w:rPr>
        <w:t>台</w:t>
      </w:r>
      <w:r>
        <w:rPr>
          <w:rFonts w:hint="default" w:ascii="Times New Roman" w:hAnsi="Times New Roman" w:eastAsia="仿宋_GB2312" w:cs="Times New Roman"/>
          <w:b w:val="0"/>
          <w:bCs w:val="0"/>
          <w:sz w:val="32"/>
          <w:szCs w:val="32"/>
          <w:u w:val="none"/>
          <w:lang w:eastAsia="zh-CN"/>
        </w:rPr>
        <w:t>以上</w:t>
      </w:r>
      <w:r>
        <w:rPr>
          <w:rFonts w:hint="default" w:ascii="Times New Roman" w:hAnsi="Times New Roman" w:eastAsia="仿宋_GB2312" w:cs="Times New Roman"/>
          <w:b w:val="0"/>
          <w:bCs w:val="0"/>
          <w:sz w:val="32"/>
          <w:szCs w:val="32"/>
          <w:u w:val="none"/>
        </w:rPr>
        <w:t>，建立并完成移栽油菜相关农机农艺融合相关地方标准或规程3项，开发适宜于移栽油菜机械施肥的油菜专用缓控释肥料、增值肥料和稳定性肥料各1个，氮肥当季利用率提高40%，亩产油菜籽达到150kg以上，申请发明专利3</w:t>
      </w:r>
      <w:r>
        <w:rPr>
          <w:rFonts w:hint="default" w:ascii="Times New Roman" w:hAnsi="Times New Roman" w:eastAsia="仿宋_GB2312" w:cs="Times New Roman"/>
          <w:b w:val="0"/>
          <w:bCs w:val="0"/>
          <w:sz w:val="32"/>
          <w:szCs w:val="32"/>
          <w:u w:val="none"/>
          <w:lang w:eastAsia="zh-CN"/>
        </w:rPr>
        <w:t>件</w:t>
      </w:r>
      <w:r>
        <w:rPr>
          <w:rFonts w:hint="default" w:ascii="Times New Roman" w:hAnsi="Times New Roman" w:eastAsia="仿宋_GB2312" w:cs="Times New Roman"/>
          <w:b w:val="0"/>
          <w:bCs w:val="0"/>
          <w:sz w:val="32"/>
          <w:szCs w:val="32"/>
          <w:u w:val="none"/>
        </w:rPr>
        <w:t>及以上，建立油菜移栽施肥一体化千亩示范区1个，累计推广面积达到5000亩以上。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30</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i w:val="0"/>
          <w:color w:val="000000"/>
          <w:kern w:val="0"/>
          <w:sz w:val="32"/>
          <w:szCs w:val="32"/>
          <w:u w:val="none"/>
          <w:lang w:val="en-US" w:eastAsia="zh-CN" w:bidi="ar"/>
        </w:rPr>
        <w:t>油</w:t>
      </w:r>
      <w:r>
        <w:rPr>
          <w:rFonts w:hint="default" w:ascii="Times New Roman" w:hAnsi="Times New Roman" w:eastAsia="仿宋_GB2312" w:cs="Times New Roman"/>
          <w:b/>
          <w:bCs/>
          <w:sz w:val="32"/>
          <w:szCs w:val="32"/>
          <w:u w:val="none"/>
        </w:rPr>
        <w:t>茶低损高效采粉及无人机精准授粉技术装备研发与应用示范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b w:val="0"/>
          <w:bCs w:val="0"/>
          <w:sz w:val="32"/>
          <w:szCs w:val="32"/>
          <w:u w:val="none"/>
        </w:rPr>
        <w:t>针对油茶自然授粉率低导致油茶产量低、人工采授粉难度大、采授粉装备极度缺乏等制约我省油茶产业健康发展的问题，结合油茶生长的低山丘陵地形、地貌特点，基于农机农艺融合，以轻型、高效、智能化为目标，开展油茶采粉装备研发与植保无人机授粉技术研究，重点突破齿梳分离花药、气力吸附花药、无人机精准喷施授粉等关键技术，开发齿梳分离机构、气力吸附机构、精准喷施机构等关键部件，研制适宜南方丘陵山区油茶低损高效采粉装备，研发适宜油茶授粉特性的植保无人机高效精准授粉技术，构建适宜低山丘陵油茶机械化采授粉生产技术模式，开展大面积应用示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b w:val="0"/>
          <w:bCs w:val="0"/>
          <w:sz w:val="32"/>
          <w:szCs w:val="32"/>
          <w:u w:val="none"/>
        </w:rPr>
        <w:t>研发低损高效的油茶花粉采集新技术装备1套，油茶花粉采净率≥90%，花朵损伤率≤10%，花粉采集效率≥500朵/时；开发植保无人机油茶高效精准授粉技术1套，授粉效率≥30亩/时，相较于自然授粉，授粉率提高≥15%；构建适宜低山丘陵油茶机械化采授粉生产技术模式1套；示范应用面积≥5000亩；申请发明专利1~2</w:t>
      </w:r>
      <w:r>
        <w:rPr>
          <w:rFonts w:hint="default" w:ascii="Times New Roman" w:hAnsi="Times New Roman" w:eastAsia="仿宋_GB2312" w:cs="Times New Roman"/>
          <w:sz w:val="32"/>
          <w:szCs w:val="32"/>
          <w:u w:val="none"/>
          <w:lang w:eastAsia="zh-CN"/>
        </w:rPr>
        <w:t>件</w:t>
      </w:r>
      <w:r>
        <w:rPr>
          <w:rFonts w:hint="default" w:ascii="Times New Roman" w:hAnsi="Times New Roman" w:eastAsia="仿宋_GB2312" w:cs="Times New Roman"/>
          <w:b w:val="0"/>
          <w:bCs w:val="0"/>
          <w:sz w:val="32"/>
          <w:szCs w:val="32"/>
          <w:u w:val="none"/>
          <w:lang w:eastAsia="zh-CN"/>
        </w:rPr>
        <w:t>，</w:t>
      </w:r>
      <w:r>
        <w:rPr>
          <w:rFonts w:hint="default" w:ascii="Times New Roman" w:hAnsi="Times New Roman" w:eastAsia="仿宋_GB2312" w:cs="Times New Roman"/>
          <w:b w:val="0"/>
          <w:bCs w:val="0"/>
          <w:sz w:val="32"/>
          <w:szCs w:val="32"/>
          <w:u w:val="none"/>
        </w:rPr>
        <w:t>完成产品鉴定或装备转化1~2项。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31</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i w:val="0"/>
          <w:color w:val="000000"/>
          <w:kern w:val="0"/>
          <w:sz w:val="32"/>
          <w:szCs w:val="32"/>
          <w:u w:val="none"/>
          <w:lang w:val="en-US" w:eastAsia="zh-CN" w:bidi="ar"/>
        </w:rPr>
        <w:t>家</w:t>
      </w:r>
      <w:r>
        <w:rPr>
          <w:rFonts w:hint="default" w:ascii="Times New Roman" w:hAnsi="Times New Roman" w:eastAsia="仿宋_GB2312" w:cs="Times New Roman"/>
          <w:b/>
          <w:bCs/>
          <w:sz w:val="32"/>
          <w:szCs w:val="32"/>
          <w:u w:val="none"/>
        </w:rPr>
        <w:t>禽智能化育种技术研究与</w:t>
      </w:r>
      <w:r>
        <w:rPr>
          <w:rFonts w:hint="default" w:ascii="Times New Roman" w:hAnsi="Times New Roman" w:eastAsia="仿宋_GB2312" w:cs="Times New Roman"/>
          <w:b/>
          <w:bCs/>
          <w:sz w:val="32"/>
          <w:szCs w:val="32"/>
          <w:u w:val="none"/>
          <w:lang w:eastAsia="zh-CN"/>
        </w:rPr>
        <w:t>设备研发及</w:t>
      </w:r>
      <w:r>
        <w:rPr>
          <w:rFonts w:hint="default" w:ascii="Times New Roman" w:hAnsi="Times New Roman" w:eastAsia="仿宋_GB2312" w:cs="Times New Roman"/>
          <w:b/>
          <w:bCs/>
          <w:sz w:val="32"/>
          <w:szCs w:val="32"/>
          <w:u w:val="none"/>
        </w:rPr>
        <w:t>示范（青年科学家项目）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b w:val="0"/>
          <w:bCs w:val="0"/>
          <w:sz w:val="32"/>
          <w:szCs w:val="32"/>
          <w:u w:val="none"/>
        </w:rPr>
        <w:t>针对种禽生产性能指标测定不精准、人工耗费大、记录误差较大等问题，研究种禽出雏、体重、采食、产蛋等生产性能指标的自动采集与记录技术；研究</w:t>
      </w:r>
      <w:r>
        <w:rPr>
          <w:rFonts w:hint="default" w:ascii="Times New Roman" w:hAnsi="Times New Roman" w:eastAsia="仿宋_GB2312" w:cs="Times New Roman"/>
          <w:b w:val="0"/>
          <w:bCs w:val="0"/>
          <w:sz w:val="32"/>
          <w:szCs w:val="32"/>
          <w:u w:val="none"/>
          <w:lang w:eastAsia="zh-CN"/>
        </w:rPr>
        <w:t>开发</w:t>
      </w:r>
      <w:r>
        <w:rPr>
          <w:rFonts w:hint="default" w:ascii="Times New Roman" w:hAnsi="Times New Roman" w:eastAsia="仿宋_GB2312" w:cs="Times New Roman"/>
          <w:b w:val="0"/>
          <w:bCs w:val="0"/>
          <w:sz w:val="32"/>
          <w:szCs w:val="32"/>
          <w:u w:val="none"/>
        </w:rPr>
        <w:t>具有数据采集、汇总、处理等功能的智能化种禽育种设备；研究</w:t>
      </w:r>
      <w:r>
        <w:rPr>
          <w:rFonts w:hint="default" w:ascii="Times New Roman" w:hAnsi="Times New Roman" w:eastAsia="仿宋_GB2312" w:cs="Times New Roman"/>
          <w:b w:val="0"/>
          <w:bCs w:val="0"/>
          <w:sz w:val="32"/>
          <w:szCs w:val="32"/>
          <w:u w:val="none"/>
          <w:lang w:eastAsia="zh-CN"/>
        </w:rPr>
        <w:t>开发</w:t>
      </w:r>
      <w:r>
        <w:rPr>
          <w:rFonts w:hint="default" w:ascii="Times New Roman" w:hAnsi="Times New Roman" w:eastAsia="仿宋_GB2312" w:cs="Times New Roman"/>
          <w:b w:val="0"/>
          <w:bCs w:val="0"/>
          <w:sz w:val="32"/>
          <w:szCs w:val="32"/>
          <w:u w:val="none"/>
        </w:rPr>
        <w:t>适合种禽大数据育种，具有遗传相关指数的计算、个体选择、配种、日常管理等管理系统，并开展示范应用。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i w:val="0"/>
          <w:color w:val="000000"/>
          <w:kern w:val="0"/>
          <w:sz w:val="32"/>
          <w:szCs w:val="32"/>
          <w:u w:val="none"/>
          <w:lang w:val="en-US" w:eastAsia="zh-CN" w:bidi="ar"/>
        </w:rPr>
        <w:t>研发具有种禽出雏、体重等指标精准测定和记录技术1~2个，准确性提高15%以上，节省人工成本达10%以上；应用智能化育种设备1~2个，应用软件管理系统1~2个，完成产品鉴定或设备转化1~2项；测定种禽8000只以上；申请发明专利2~3件；申请软件著作权2~3项；申请省级以上种禽生产性能测定技术规程（标准）1~2项；在1~2家规模以上企业示范应用家禽智能化育种技术和设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b/>
          <w:bCs/>
          <w:i w:val="0"/>
          <w:color w:val="000000"/>
          <w:kern w:val="0"/>
          <w:sz w:val="32"/>
          <w:szCs w:val="32"/>
          <w:u w:val="none"/>
          <w:lang w:val="en-US" w:eastAsia="zh-CN" w:bidi="ar"/>
        </w:rPr>
        <w:t>32</w:t>
      </w:r>
      <w:r>
        <w:rPr>
          <w:rFonts w:hint="eastAsia" w:ascii="Times New Roman" w:hAnsi="Times New Roman" w:eastAsia="仿宋_GB2312" w:cs="Times New Roman"/>
          <w:b/>
          <w:bCs/>
          <w:i w:val="0"/>
          <w:color w:val="000000"/>
          <w:kern w:val="0"/>
          <w:sz w:val="32"/>
          <w:szCs w:val="32"/>
          <w:u w:val="none"/>
          <w:lang w:val="en-US" w:eastAsia="zh-CN" w:bidi="ar"/>
        </w:rPr>
        <w:t>．</w:t>
      </w:r>
      <w:r>
        <w:rPr>
          <w:rFonts w:hint="default" w:ascii="Times New Roman" w:hAnsi="Times New Roman" w:eastAsia="仿宋_GB2312" w:cs="Times New Roman"/>
          <w:b/>
          <w:bCs/>
          <w:sz w:val="32"/>
          <w:szCs w:val="32"/>
          <w:u w:val="none"/>
        </w:rPr>
        <w:t>名优茶智能采摘装备关键算法与技术研究（青年科学家项目）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bCs/>
          <w:sz w:val="32"/>
          <w:szCs w:val="32"/>
          <w:u w:val="none"/>
        </w:rPr>
        <w:t>研究内容：</w:t>
      </w:r>
      <w:r>
        <w:rPr>
          <w:rFonts w:hint="default" w:ascii="Times New Roman" w:hAnsi="Times New Roman" w:eastAsia="仿宋_GB2312" w:cs="Times New Roman"/>
          <w:sz w:val="32"/>
          <w:szCs w:val="32"/>
          <w:u w:val="none"/>
        </w:rPr>
        <w:t>针对名优茶一芽一叶手工采摘耗时、费力、效率低下、采摘人工严重不足及采摘成本过高等问题，开展名优茶智能采摘技术研究，重点突破复杂背景下茶叶嫩芽图像分割方法、芽头分布不均匀条件下茶嫩芽采摘点定位方法、柔性少损采收末端执行器等关键技术；研发茶叶嫩芽智能识别和定位关键技术；研发柔性少损采收末端执行器和地形适应性、灵活性、稳定性好的采茶自动行走动力底盘；创制名优茶智能采摘关键技术装备，实现应用示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cs="Times New Roman"/>
          <w:sz w:val="32"/>
          <w:szCs w:val="32"/>
          <w:u w:val="none"/>
        </w:rPr>
      </w:pPr>
      <w:r>
        <w:rPr>
          <w:rFonts w:hint="default" w:ascii="Times New Roman" w:hAnsi="Times New Roman" w:eastAsia="仿宋_GB2312" w:cs="Times New Roman"/>
          <w:b/>
          <w:bCs/>
          <w:sz w:val="32"/>
          <w:szCs w:val="32"/>
          <w:u w:val="none"/>
        </w:rPr>
        <w:t>考核指标：</w:t>
      </w:r>
      <w:r>
        <w:rPr>
          <w:rFonts w:hint="default" w:ascii="Times New Roman" w:hAnsi="Times New Roman" w:eastAsia="仿宋_GB2312" w:cs="Times New Roman"/>
          <w:i w:val="0"/>
          <w:color w:val="000000"/>
          <w:kern w:val="0"/>
          <w:sz w:val="32"/>
          <w:szCs w:val="32"/>
          <w:u w:val="none"/>
          <w:lang w:val="en-US" w:eastAsia="zh-CN" w:bidi="ar"/>
        </w:rPr>
        <w:t>研发底盘智能控制系统1套，茶叶采摘设备数据管理系统1套，数据监控系统1套，研发新技术、新算法≥2项；采摘平台载重量≥50kg，平台自重≤300kg；包含前进挡位和倒挡，前进速度0~5.5km/h可调；侧倾稳定角≥25°，爬坡角度≥35°；芽叶嫩芽识别准确率≥90%；采摘速度≤3秒/颗，采收成功率≥90%，采收芽叶完整率≥80%。开发名优茶选择性智能采摘装备1套并进行示范。申请发明专利≥2件。</w:t>
      </w:r>
    </w:p>
    <w:p>
      <w:pPr>
        <w:keepNext w:val="0"/>
        <w:keepLines w:val="0"/>
        <w:pageBreakBefore w:val="0"/>
        <w:kinsoku/>
        <w:wordWrap/>
        <w:overflowPunct/>
        <w:topLinePunct w:val="0"/>
        <w:autoSpaceDE/>
        <w:autoSpaceDN/>
        <w:bidi w:val="0"/>
        <w:spacing w:line="560" w:lineRule="exact"/>
        <w:ind w:firstLine="723" w:firstLineChars="200"/>
        <w:jc w:val="center"/>
        <w:rPr>
          <w:rFonts w:hint="default" w:ascii="Times New Roman" w:hAnsi="Times New Roman" w:eastAsia="宋体" w:cs="Times New Roman"/>
          <w:b/>
          <w:bCs/>
          <w:sz w:val="36"/>
          <w:szCs w:val="36"/>
          <w:highlight w:val="none"/>
          <w:lang w:val="en" w:eastAsia="zh-CN"/>
        </w:rPr>
      </w:pPr>
    </w:p>
    <w:p>
      <w:pPr>
        <w:keepNext w:val="0"/>
        <w:keepLines w:val="0"/>
        <w:pageBreakBefore w:val="0"/>
        <w:kinsoku/>
        <w:wordWrap/>
        <w:overflowPunct/>
        <w:topLinePunct w:val="0"/>
        <w:autoSpaceDE/>
        <w:autoSpaceDN/>
        <w:bidi w:val="0"/>
        <w:spacing w:line="560" w:lineRule="exact"/>
        <w:ind w:firstLine="723" w:firstLineChars="200"/>
        <w:jc w:val="center"/>
        <w:rPr>
          <w:rFonts w:hint="default" w:ascii="Times New Roman" w:hAnsi="Times New Roman" w:eastAsia="宋体" w:cs="Times New Roman"/>
          <w:b/>
          <w:bCs/>
          <w:sz w:val="36"/>
          <w:szCs w:val="36"/>
          <w:highlight w:val="none"/>
          <w:lang w:val="en" w:eastAsia="zh-CN"/>
        </w:rPr>
        <w:sectPr>
          <w:headerReference r:id="rId7" w:type="default"/>
          <w:footerReference r:id="rId9" w:type="default"/>
          <w:headerReference r:id="rId8" w:type="even"/>
          <w:footerReference r:id="rId10" w:type="even"/>
          <w:pgSz w:w="11906" w:h="16838"/>
          <w:pgMar w:top="1701" w:right="1417" w:bottom="1701" w:left="1417" w:header="851" w:footer="1417" w:gutter="0"/>
          <w:cols w:space="425" w:num="1"/>
          <w:docGrid w:type="lines" w:linePitch="312" w:charSpace="0"/>
        </w:sectPr>
      </w:pP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cs="Times New Roman"/>
          <w:sz w:val="32"/>
          <w:szCs w:val="32"/>
          <w:lang w:val="en" w:eastAsia="zh-CN"/>
        </w:rPr>
      </w:pPr>
      <w:r>
        <w:rPr>
          <w:rFonts w:hint="default" w:ascii="Times New Roman" w:hAnsi="Times New Roman" w:eastAsia="宋体" w:cs="Times New Roman"/>
          <w:b/>
          <w:bCs/>
          <w:sz w:val="32"/>
          <w:szCs w:val="32"/>
          <w:highlight w:val="none"/>
          <w:lang w:val="en" w:eastAsia="zh-CN"/>
        </w:rPr>
        <w:t>社发领域</w:t>
      </w:r>
    </w:p>
    <w:tbl>
      <w:tblPr>
        <w:tblStyle w:val="9"/>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507"/>
        <w:gridCol w:w="4433"/>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806" w:type="dxa"/>
            <w:vAlign w:val="center"/>
          </w:tcPr>
          <w:p>
            <w:pPr>
              <w:keepNext w:val="0"/>
              <w:keepLines w:val="0"/>
              <w:pageBreakBefore w:val="0"/>
              <w:numPr>
                <w:ilvl w:val="0"/>
                <w:numId w:val="0"/>
              </w:numPr>
              <w:kinsoku/>
              <w:wordWrap/>
              <w:overflowPunct/>
              <w:topLinePunct w:val="0"/>
              <w:autoSpaceDE/>
              <w:autoSpaceDN/>
              <w:bidi w:val="0"/>
              <w:spacing w:line="340" w:lineRule="exact"/>
              <w:ind w:leftChars="0"/>
              <w:jc w:val="center"/>
              <w:rPr>
                <w:rFonts w:hint="default" w:ascii="Times New Roman" w:hAnsi="Times New Roman" w:eastAsia="仿宋_GB2312" w:cs="Times New Roman"/>
                <w:b/>
                <w:bCs/>
                <w:color w:val="auto"/>
                <w:kern w:val="0"/>
                <w:sz w:val="28"/>
                <w:szCs w:val="28"/>
                <w:highlight w:val="none"/>
              </w:rPr>
            </w:pPr>
            <w:r>
              <w:rPr>
                <w:rFonts w:hint="default" w:ascii="Times New Roman" w:hAnsi="Times New Roman" w:eastAsia="仿宋_GB2312" w:cs="Times New Roman"/>
                <w:b/>
                <w:bCs/>
                <w:color w:val="auto"/>
                <w:kern w:val="0"/>
                <w:sz w:val="28"/>
                <w:szCs w:val="28"/>
                <w:highlight w:val="none"/>
              </w:rPr>
              <w:t>序号</w:t>
            </w:r>
          </w:p>
        </w:tc>
        <w:tc>
          <w:tcPr>
            <w:tcW w:w="1507"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b/>
                <w:bCs/>
                <w:color w:val="auto"/>
                <w:kern w:val="0"/>
                <w:sz w:val="28"/>
                <w:szCs w:val="28"/>
                <w:highlight w:val="none"/>
                <w:lang w:eastAsia="zh-CN"/>
              </w:rPr>
            </w:pPr>
            <w:r>
              <w:rPr>
                <w:rFonts w:hint="default" w:ascii="Times New Roman" w:hAnsi="Times New Roman" w:eastAsia="仿宋_GB2312" w:cs="Times New Roman"/>
                <w:b/>
                <w:bCs/>
                <w:color w:val="auto"/>
                <w:kern w:val="0"/>
                <w:sz w:val="28"/>
                <w:szCs w:val="28"/>
                <w:highlight w:val="none"/>
                <w:lang w:eastAsia="zh-CN"/>
              </w:rPr>
              <w:t>技术领域</w:t>
            </w:r>
          </w:p>
        </w:tc>
        <w:tc>
          <w:tcPr>
            <w:tcW w:w="4433"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b/>
                <w:bCs/>
                <w:color w:val="auto"/>
                <w:kern w:val="0"/>
                <w:sz w:val="28"/>
                <w:szCs w:val="28"/>
                <w:highlight w:val="none"/>
              </w:rPr>
            </w:pPr>
            <w:r>
              <w:rPr>
                <w:rFonts w:hint="default" w:ascii="Times New Roman" w:hAnsi="Times New Roman" w:eastAsia="仿宋_GB2312" w:cs="Times New Roman"/>
                <w:b/>
                <w:bCs/>
                <w:color w:val="auto"/>
                <w:kern w:val="0"/>
                <w:sz w:val="28"/>
                <w:szCs w:val="28"/>
                <w:highlight w:val="none"/>
              </w:rPr>
              <w:t>指南</w:t>
            </w:r>
            <w:r>
              <w:rPr>
                <w:rFonts w:hint="default" w:ascii="Times New Roman" w:hAnsi="Times New Roman" w:eastAsia="仿宋_GB2312" w:cs="Times New Roman"/>
                <w:b/>
                <w:bCs/>
                <w:color w:val="auto"/>
                <w:kern w:val="0"/>
                <w:sz w:val="28"/>
                <w:szCs w:val="28"/>
                <w:highlight w:val="none"/>
                <w:lang w:val="en-US" w:eastAsia="zh-CN"/>
              </w:rPr>
              <w:t>方向</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b/>
                <w:bCs/>
                <w:color w:val="auto"/>
                <w:kern w:val="0"/>
                <w:sz w:val="28"/>
                <w:szCs w:val="28"/>
                <w:highlight w:val="none"/>
                <w:lang w:val="en" w:eastAsia="zh-CN"/>
              </w:rPr>
            </w:pPr>
            <w:r>
              <w:rPr>
                <w:rFonts w:hint="default" w:ascii="Times New Roman" w:hAnsi="Times New Roman" w:eastAsia="仿宋_GB2312" w:cs="Times New Roman"/>
                <w:b/>
                <w:bCs/>
                <w:color w:val="auto"/>
                <w:kern w:val="0"/>
                <w:sz w:val="28"/>
                <w:szCs w:val="28"/>
                <w:highlight w:val="none"/>
                <w:lang w:eastAsia="zh-CN"/>
              </w:rPr>
              <w:t>是否青年</w:t>
            </w:r>
            <w:r>
              <w:rPr>
                <w:rFonts w:hint="default" w:ascii="Times New Roman" w:hAnsi="Times New Roman" w:eastAsia="仿宋_GB2312" w:cs="Times New Roman"/>
                <w:b/>
                <w:bCs/>
                <w:color w:val="auto"/>
                <w:kern w:val="0"/>
                <w:sz w:val="28"/>
                <w:szCs w:val="28"/>
                <w:highlight w:val="none"/>
                <w:lang w:val="en" w:eastAsia="zh-CN"/>
              </w:rPr>
              <w:t>科学家</w:t>
            </w:r>
          </w:p>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b/>
                <w:bCs/>
                <w:color w:val="auto"/>
                <w:kern w:val="0"/>
                <w:sz w:val="28"/>
                <w:szCs w:val="28"/>
                <w:highlight w:val="none"/>
                <w:lang w:val="en-US" w:eastAsia="zh-CN" w:bidi="ar-SA"/>
              </w:rPr>
            </w:pPr>
            <w:r>
              <w:rPr>
                <w:rFonts w:hint="default" w:ascii="Times New Roman" w:hAnsi="Times New Roman" w:eastAsia="仿宋_GB2312" w:cs="Times New Roman"/>
                <w:b/>
                <w:bCs/>
                <w:color w:val="auto"/>
                <w:kern w:val="0"/>
                <w:sz w:val="28"/>
                <w:szCs w:val="28"/>
                <w:highlight w:val="none"/>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06" w:type="dxa"/>
            <w:vAlign w:val="center"/>
          </w:tcPr>
          <w:p>
            <w:pPr>
              <w:keepNext w:val="0"/>
              <w:keepLines w:val="0"/>
              <w:pageBreakBefore w:val="0"/>
              <w:widowControl/>
              <w:numPr>
                <w:ilvl w:val="0"/>
                <w:numId w:val="0"/>
              </w:numPr>
              <w:tabs>
                <w:tab w:val="left" w:pos="420"/>
              </w:tabs>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1</w:t>
            </w:r>
          </w:p>
        </w:tc>
        <w:tc>
          <w:tcPr>
            <w:tcW w:w="1507" w:type="dxa"/>
            <w:vMerge w:val="restart"/>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eastAsia="zh-CN"/>
              </w:rPr>
            </w:pPr>
            <w:r>
              <w:rPr>
                <w:rFonts w:hint="default" w:ascii="Times New Roman" w:hAnsi="Times New Roman" w:eastAsia="仿宋_GB2312" w:cs="Times New Roman"/>
                <w:color w:val="auto"/>
                <w:kern w:val="0"/>
                <w:sz w:val="28"/>
                <w:szCs w:val="28"/>
                <w:highlight w:val="none"/>
                <w:lang w:eastAsia="zh-CN"/>
              </w:rPr>
              <w:t>资源生态环境</w:t>
            </w: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印制电路板（PCB）行业全链条减污降碳协同关键技术及应用示范</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2</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i w:val="0"/>
                <w:color w:val="auto"/>
                <w:kern w:val="0"/>
                <w:sz w:val="28"/>
                <w:szCs w:val="28"/>
                <w:u w:val="none"/>
                <w:lang w:val="en-US" w:eastAsia="zh-CN" w:bidi="ar"/>
              </w:rPr>
            </w:pPr>
            <w:r>
              <w:rPr>
                <w:rFonts w:hint="default" w:ascii="Times New Roman" w:hAnsi="Times New Roman" w:eastAsia="仿宋_GB2312" w:cs="Times New Roman"/>
                <w:kern w:val="0"/>
                <w:sz w:val="28"/>
                <w:szCs w:val="28"/>
              </w:rPr>
              <w:t>高效催化脱除挥发性有机污染技术研究与应用</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06" w:type="dxa"/>
            <w:vAlign w:val="center"/>
          </w:tcPr>
          <w:p>
            <w:pPr>
              <w:keepNext w:val="0"/>
              <w:keepLines w:val="0"/>
              <w:pageBreakBefore w:val="0"/>
              <w:widowControl/>
              <w:numPr>
                <w:ilvl w:val="0"/>
                <w:numId w:val="0"/>
              </w:numPr>
              <w:tabs>
                <w:tab w:val="left" w:pos="420"/>
              </w:tabs>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3</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both"/>
              <w:textAlignment w:val="auto"/>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省际交界区域大气复合污染与气候变化协同应对技术与应用</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4</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kern w:val="0"/>
                <w:sz w:val="28"/>
                <w:szCs w:val="28"/>
              </w:rPr>
              <w:t>洪枯交替对鄱阳湖碟</w:t>
            </w:r>
            <w:r>
              <w:rPr>
                <w:rFonts w:hint="default" w:ascii="Times New Roman" w:hAnsi="Times New Roman" w:eastAsia="仿宋_GB2312" w:cs="Times New Roman"/>
                <w:kern w:val="0"/>
                <w:sz w:val="28"/>
                <w:szCs w:val="28"/>
                <w:lang w:eastAsia="zh-CN"/>
              </w:rPr>
              <w:t>形</w:t>
            </w:r>
            <w:r>
              <w:rPr>
                <w:rFonts w:hint="default" w:ascii="Times New Roman" w:hAnsi="Times New Roman" w:eastAsia="仿宋_GB2312" w:cs="Times New Roman"/>
                <w:kern w:val="0"/>
                <w:sz w:val="28"/>
                <w:szCs w:val="28"/>
              </w:rPr>
              <w:t>湖区水文连通及水生态健康影响及其优化调控</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5</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赣江流域水工程多目标协同优化调度关键技术研究及应用</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6</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重点水域水生生物多样性保育及水生态健康提升关键技术与应用</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7</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b/>
                <w:bCs/>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江西省全氟化合物筛查、治理、风险评估与管控关键技术与应用</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8</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面向鄱阳湖入湖排污口排水的快速除磷技术装备与应急除磷技术研发及应用</w:t>
            </w:r>
          </w:p>
        </w:tc>
        <w:tc>
          <w:tcPr>
            <w:tcW w:w="2590" w:type="dxa"/>
            <w:vAlign w:val="center"/>
          </w:tcPr>
          <w:p>
            <w:pPr>
              <w:keepNext w:val="0"/>
              <w:keepLines w:val="0"/>
              <w:pageBreakBefore w:val="0"/>
              <w:widowControl w:val="0"/>
              <w:kinsoku/>
              <w:wordWrap/>
              <w:overflowPunct/>
              <w:topLinePunct w:val="0"/>
              <w:autoSpaceDE/>
              <w:autoSpaceDN/>
              <w:bidi w:val="0"/>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9</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kern w:val="0"/>
                <w:sz w:val="28"/>
                <w:szCs w:val="28"/>
              </w:rPr>
              <w:t>工业含氟污泥高值利用关键技术研究与装备集成示范</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10</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kinsoku/>
              <w:wordWrap/>
              <w:overflowPunct/>
              <w:topLinePunct w:val="0"/>
              <w:autoSpaceDE/>
              <w:autoSpaceDN/>
              <w:bidi w:val="0"/>
              <w:spacing w:line="340" w:lineRule="exact"/>
              <w:ind w:firstLine="0" w:firstLineChars="0"/>
              <w:jc w:val="both"/>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kern w:val="0"/>
                <w:sz w:val="28"/>
                <w:szCs w:val="28"/>
              </w:rPr>
              <w:t>鄱阳湖典型消落带减污固碳植被修复关键技术研发与应用示范</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11</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lang w:eastAsia="zh-CN"/>
              </w:rPr>
              <w:t>典型</w:t>
            </w:r>
            <w:r>
              <w:rPr>
                <w:rFonts w:hint="default" w:ascii="Times New Roman" w:hAnsi="Times New Roman" w:eastAsia="仿宋_GB2312" w:cs="Times New Roman"/>
                <w:kern w:val="0"/>
                <w:sz w:val="28"/>
                <w:szCs w:val="28"/>
              </w:rPr>
              <w:t>行业废水低碳处理与资源化利用关键技术研究及示范</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12</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b/>
                <w:bCs/>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新一代高掺量沥青路面热再生技术及装备研究</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06" w:type="dxa"/>
            <w:tcBorders>
              <w:top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13</w:t>
            </w:r>
          </w:p>
        </w:tc>
        <w:tc>
          <w:tcPr>
            <w:tcW w:w="1507" w:type="dxa"/>
            <w:vMerge w:val="restart"/>
            <w:tcBorders>
              <w:top w:val="single" w:color="000000" w:sz="4" w:space="0"/>
            </w:tcBorders>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医药</w:t>
            </w:r>
          </w:p>
        </w:tc>
        <w:tc>
          <w:tcPr>
            <w:tcW w:w="4433" w:type="dxa"/>
            <w:tcBorders>
              <w:top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原料药及药物中间体绿色生物制造关键技术研究</w:t>
            </w:r>
          </w:p>
        </w:tc>
        <w:tc>
          <w:tcPr>
            <w:tcW w:w="2590" w:type="dxa"/>
            <w:tcBorders>
              <w:top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6" w:type="dxa"/>
            <w:tcBorders>
              <w:top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14</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tcBorders>
              <w:top w:val="single" w:color="000000" w:sz="4" w:space="0"/>
            </w:tcBorders>
            <w:vAlign w:val="center"/>
          </w:tcPr>
          <w:p>
            <w:pPr>
              <w:keepNext w:val="0"/>
              <w:keepLines w:val="0"/>
              <w:pageBreakBefore w:val="0"/>
              <w:kinsoku/>
              <w:wordWrap/>
              <w:overflowPunct/>
              <w:topLinePunct w:val="0"/>
              <w:autoSpaceDE/>
              <w:autoSpaceDN/>
              <w:bidi w:val="0"/>
              <w:spacing w:line="340" w:lineRule="exact"/>
              <w:ind w:firstLine="0" w:firstLineChars="0"/>
              <w:jc w:val="both"/>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高性能生物医用滤膜研发</w:t>
            </w:r>
          </w:p>
        </w:tc>
        <w:tc>
          <w:tcPr>
            <w:tcW w:w="2590" w:type="dxa"/>
            <w:tcBorders>
              <w:top w:val="single" w:color="000000" w:sz="4" w:space="0"/>
            </w:tcBorders>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06" w:type="dxa"/>
            <w:tcBorders>
              <w:top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15</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tcBorders>
              <w:top w:val="single" w:color="000000" w:sz="4" w:space="0"/>
            </w:tcBorders>
            <w:vAlign w:val="center"/>
          </w:tcPr>
          <w:p>
            <w:pPr>
              <w:keepNext w:val="0"/>
              <w:keepLines w:val="0"/>
              <w:pageBreakBefore w:val="0"/>
              <w:kinsoku/>
              <w:wordWrap/>
              <w:overflowPunct/>
              <w:topLinePunct w:val="0"/>
              <w:autoSpaceDE/>
              <w:autoSpaceDN/>
              <w:bidi w:val="0"/>
              <w:spacing w:line="340" w:lineRule="exact"/>
              <w:ind w:firstLine="0" w:firstLineChars="0"/>
              <w:jc w:val="both"/>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赣产道地中药材GAP规范化种植关键技术研究与应用示范</w:t>
            </w:r>
          </w:p>
        </w:tc>
        <w:tc>
          <w:tcPr>
            <w:tcW w:w="2590" w:type="dxa"/>
            <w:tcBorders>
              <w:top w:val="single" w:color="000000" w:sz="4" w:space="0"/>
            </w:tcBorders>
            <w:vAlign w:val="center"/>
          </w:tcPr>
          <w:p>
            <w:pPr>
              <w:keepNext w:val="0"/>
              <w:keepLines w:val="0"/>
              <w:pageBreakBefore w:val="0"/>
              <w:widowControl/>
              <w:kinsoku/>
              <w:wordWrap/>
              <w:overflowPunct/>
              <w:topLinePunct w:val="0"/>
              <w:autoSpaceDE/>
              <w:autoSpaceDN/>
              <w:bidi w:val="0"/>
              <w:spacing w:line="340" w:lineRule="exact"/>
              <w:ind w:firstLine="0" w:firstLine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6" w:type="dxa"/>
            <w:tcBorders>
              <w:top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16</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tcBorders>
              <w:top w:val="single" w:color="000000" w:sz="4" w:space="0"/>
            </w:tcBorders>
            <w:vAlign w:val="center"/>
          </w:tcPr>
          <w:p>
            <w:pPr>
              <w:keepNext w:val="0"/>
              <w:keepLines w:val="0"/>
              <w:pageBreakBefore w:val="0"/>
              <w:kinsoku/>
              <w:wordWrap/>
              <w:overflowPunct/>
              <w:topLinePunct w:val="0"/>
              <w:autoSpaceDE/>
              <w:autoSpaceDN/>
              <w:bidi w:val="0"/>
              <w:spacing w:line="340" w:lineRule="exact"/>
              <w:ind w:firstLine="0" w:firstLineChars="0"/>
              <w:jc w:val="both"/>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中成药名优大品种二次开发</w:t>
            </w:r>
          </w:p>
        </w:tc>
        <w:tc>
          <w:tcPr>
            <w:tcW w:w="2590" w:type="dxa"/>
            <w:tcBorders>
              <w:top w:val="single" w:color="000000" w:sz="4" w:space="0"/>
            </w:tcBorders>
            <w:vAlign w:val="center"/>
          </w:tcPr>
          <w:p>
            <w:pPr>
              <w:keepNext w:val="0"/>
              <w:keepLines w:val="0"/>
              <w:pageBreakBefore w:val="0"/>
              <w:widowControl/>
              <w:kinsoku/>
              <w:wordWrap/>
              <w:overflowPunct/>
              <w:topLinePunct w:val="0"/>
              <w:autoSpaceDE/>
              <w:autoSpaceDN/>
              <w:bidi w:val="0"/>
              <w:spacing w:line="340" w:lineRule="exact"/>
              <w:ind w:firstLine="0" w:firstLine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06" w:type="dxa"/>
            <w:tcBorders>
              <w:top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17</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tcBorders>
              <w:top w:val="single" w:color="000000" w:sz="4" w:space="0"/>
            </w:tcBorders>
            <w:vAlign w:val="center"/>
          </w:tcPr>
          <w:p>
            <w:pPr>
              <w:keepNext w:val="0"/>
              <w:keepLines w:val="0"/>
              <w:pageBreakBefore w:val="0"/>
              <w:kinsoku/>
              <w:wordWrap/>
              <w:overflowPunct/>
              <w:topLinePunct w:val="0"/>
              <w:autoSpaceDE/>
              <w:autoSpaceDN/>
              <w:bidi w:val="0"/>
              <w:spacing w:line="340" w:lineRule="exact"/>
              <w:ind w:firstLine="0" w:firstLineChars="0"/>
              <w:jc w:val="both"/>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人用经验临床验方的中药创新药</w:t>
            </w:r>
            <w:r>
              <w:rPr>
                <w:rFonts w:hint="default" w:ascii="Times New Roman" w:hAnsi="Times New Roman" w:eastAsia="仿宋_GB2312" w:cs="Times New Roman"/>
                <w:kern w:val="0"/>
                <w:sz w:val="28"/>
                <w:szCs w:val="28"/>
                <w:lang w:eastAsia="zh-CN"/>
              </w:rPr>
              <w:t>临床前研究</w:t>
            </w:r>
          </w:p>
        </w:tc>
        <w:tc>
          <w:tcPr>
            <w:tcW w:w="2590" w:type="dxa"/>
            <w:tcBorders>
              <w:top w:val="single" w:color="000000" w:sz="4" w:space="0"/>
            </w:tcBorders>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06" w:type="dxa"/>
            <w:tcBorders>
              <w:top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18</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tcBorders>
              <w:top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糖</w:t>
            </w:r>
            <w:r>
              <w:rPr>
                <w:rFonts w:hint="default" w:ascii="Times New Roman" w:hAnsi="Times New Roman" w:eastAsia="仿宋_GB2312" w:cs="Times New Roman"/>
                <w:spacing w:val="-11"/>
                <w:kern w:val="0"/>
                <w:sz w:val="28"/>
                <w:szCs w:val="28"/>
              </w:rPr>
              <w:t>尿病等慢性病治疗药物临床前研究</w:t>
            </w:r>
          </w:p>
        </w:tc>
        <w:tc>
          <w:tcPr>
            <w:tcW w:w="2590" w:type="dxa"/>
            <w:tcBorders>
              <w:top w:val="single" w:color="000000" w:sz="4" w:space="0"/>
            </w:tcBorders>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19</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kinsoku/>
              <w:wordWrap/>
              <w:overflowPunct/>
              <w:topLinePunct w:val="0"/>
              <w:autoSpaceDE/>
              <w:autoSpaceDN/>
              <w:bidi w:val="0"/>
              <w:adjustRightInd w:val="0"/>
              <w:snapToGrid w:val="0"/>
              <w:spacing w:line="340" w:lineRule="exact"/>
              <w:jc w:val="both"/>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介入式医疗器械表面改性及精密成型关键</w:t>
            </w:r>
            <w:r>
              <w:rPr>
                <w:rFonts w:hint="default" w:ascii="Times New Roman" w:hAnsi="Times New Roman" w:eastAsia="仿宋_GB2312" w:cs="Times New Roman"/>
                <w:kern w:val="0"/>
                <w:sz w:val="28"/>
                <w:szCs w:val="28"/>
                <w:lang w:eastAsia="zh-CN"/>
              </w:rPr>
              <w:t>技术</w:t>
            </w:r>
            <w:r>
              <w:rPr>
                <w:rFonts w:hint="default" w:ascii="Times New Roman" w:hAnsi="Times New Roman" w:eastAsia="仿宋_GB2312" w:cs="Times New Roman"/>
                <w:kern w:val="0"/>
                <w:sz w:val="28"/>
                <w:szCs w:val="28"/>
              </w:rPr>
              <w:t>研发</w:t>
            </w:r>
          </w:p>
        </w:tc>
        <w:tc>
          <w:tcPr>
            <w:tcW w:w="2590" w:type="dxa"/>
            <w:vAlign w:val="center"/>
          </w:tcPr>
          <w:p>
            <w:pPr>
              <w:keepNext w:val="0"/>
              <w:keepLines w:val="0"/>
              <w:pageBreakBefore w:val="0"/>
              <w:widowControl/>
              <w:kinsoku/>
              <w:wordWrap/>
              <w:overflowPunct/>
              <w:topLinePunct w:val="0"/>
              <w:autoSpaceDE/>
              <w:autoSpaceDN/>
              <w:bidi w:val="0"/>
              <w:spacing w:line="340" w:lineRule="exact"/>
              <w:ind w:firstLine="0" w:firstLine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20</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kinsoku/>
              <w:wordWrap/>
              <w:overflowPunct/>
              <w:topLinePunct w:val="0"/>
              <w:autoSpaceDE/>
              <w:autoSpaceDN/>
              <w:bidi w:val="0"/>
              <w:spacing w:line="340" w:lineRule="exact"/>
              <w:ind w:firstLine="0" w:firstLineChars="0"/>
              <w:jc w:val="both"/>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基于新靶点的恶性肿瘤药物开发</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
              </w:rPr>
            </w:pPr>
            <w:r>
              <w:rPr>
                <w:rFonts w:hint="default" w:ascii="Times New Roman" w:hAnsi="Times New Roman" w:eastAsia="仿宋_GB2312" w:cs="Times New Roman"/>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21</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新型再生创面修复材料研发</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22</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治疗恶性肿瘤高质量仿制药关键技术开发</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23</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江西特色中药饮片及辅料关键技术开发</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24</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江西</w:t>
            </w:r>
            <w:r>
              <w:rPr>
                <w:rFonts w:hint="default" w:ascii="Times New Roman" w:hAnsi="Times New Roman" w:eastAsia="仿宋_GB2312" w:cs="Times New Roman"/>
                <w:kern w:val="0"/>
                <w:sz w:val="28"/>
                <w:szCs w:val="28"/>
                <w:lang w:val="en-US" w:eastAsia="zh-CN"/>
              </w:rPr>
              <w:t>特色</w:t>
            </w:r>
            <w:r>
              <w:rPr>
                <w:rFonts w:hint="default" w:ascii="Times New Roman" w:hAnsi="Times New Roman" w:eastAsia="仿宋_GB2312" w:cs="Times New Roman"/>
                <w:kern w:val="0"/>
                <w:sz w:val="28"/>
                <w:szCs w:val="28"/>
              </w:rPr>
              <w:t>植物高品质花</w:t>
            </w:r>
            <w:r>
              <w:rPr>
                <w:rFonts w:hint="default" w:ascii="Times New Roman" w:hAnsi="Times New Roman" w:eastAsia="仿宋_GB2312" w:cs="Times New Roman"/>
                <w:kern w:val="0"/>
                <w:sz w:val="28"/>
                <w:szCs w:val="28"/>
                <w:lang w:val="en-US" w:eastAsia="zh-CN"/>
              </w:rPr>
              <w:t>果</w:t>
            </w:r>
            <w:r>
              <w:rPr>
                <w:rFonts w:hint="default" w:ascii="Times New Roman" w:hAnsi="Times New Roman" w:eastAsia="仿宋_GB2312" w:cs="Times New Roman"/>
                <w:kern w:val="0"/>
                <w:sz w:val="28"/>
                <w:szCs w:val="28"/>
              </w:rPr>
              <w:t>类精油提取关键技术研究及示范</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25</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重组蛋白质药物和多肽原料药制造关键技术研发</w:t>
            </w:r>
          </w:p>
        </w:tc>
        <w:tc>
          <w:tcPr>
            <w:tcW w:w="2590" w:type="dxa"/>
            <w:vAlign w:val="center"/>
          </w:tcPr>
          <w:p>
            <w:pPr>
              <w:keepNext w:val="0"/>
              <w:keepLines w:val="0"/>
              <w:pageBreakBefore w:val="0"/>
              <w:widowControl/>
              <w:kinsoku/>
              <w:wordWrap/>
              <w:overflowPunct/>
              <w:topLinePunct w:val="0"/>
              <w:autoSpaceDE/>
              <w:autoSpaceDN/>
              <w:bidi w:val="0"/>
              <w:spacing w:line="340" w:lineRule="exact"/>
              <w:ind w:firstLine="0" w:firstLine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26</w:t>
            </w:r>
          </w:p>
        </w:tc>
        <w:tc>
          <w:tcPr>
            <w:tcW w:w="1507" w:type="dxa"/>
            <w:vMerge w:val="restart"/>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卫生</w:t>
            </w:r>
          </w:p>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健康</w:t>
            </w: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心血管疾病急危重症风险预警与智能监控技术研究</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27</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帕金森病早期生物标志物及辅助诊断技术研发</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28</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bCs/>
                <w:color w:val="auto"/>
                <w:kern w:val="0"/>
                <w:sz w:val="28"/>
                <w:szCs w:val="28"/>
                <w:lang w:val="en-US" w:eastAsia="zh-CN" w:bidi="ar-SA"/>
              </w:rPr>
            </w:pPr>
            <w:r>
              <w:rPr>
                <w:rFonts w:hint="default" w:ascii="Times New Roman" w:hAnsi="Times New Roman" w:eastAsia="仿宋_GB2312" w:cs="Times New Roman"/>
                <w:kern w:val="0"/>
                <w:sz w:val="28"/>
                <w:szCs w:val="28"/>
              </w:rPr>
              <w:t>呼吸系统慢性疾病早期诊断及个体化治疗技术研究</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29</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江西高发恶性肿瘤诊疗新靶点筛选及应用研究</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30</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新生儿呼吸系统危重症防治关键技术研究及应用</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31</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中医治疗肺癌临床研究</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32</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ARDS呼吸支持及并发症防控技术研究</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33</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糖尿病慢性并发症的早期识别与干预研究</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34</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中医药在自身免疫性疾病危重并发症中的应用研究</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35</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仿宋_GB2312" w:cs="Times New Roman"/>
                <w:color w:val="auto"/>
                <w:spacing w:val="-11"/>
                <w:kern w:val="0"/>
                <w:sz w:val="28"/>
                <w:szCs w:val="28"/>
                <w:lang w:val="en-US" w:eastAsia="zh-CN" w:bidi="ar-SA"/>
              </w:rPr>
            </w:pPr>
            <w:r>
              <w:rPr>
                <w:rFonts w:hint="default" w:ascii="Times New Roman" w:hAnsi="Times New Roman" w:eastAsia="仿宋_GB2312" w:cs="Times New Roman"/>
                <w:kern w:val="0"/>
                <w:sz w:val="28"/>
                <w:szCs w:val="28"/>
              </w:rPr>
              <w:t>睡眠障碍致认知损害患者多模态影像评价体系关键技术及应用研究</w:t>
            </w:r>
          </w:p>
        </w:tc>
        <w:tc>
          <w:tcPr>
            <w:tcW w:w="2590" w:type="dxa"/>
            <w:vAlign w:val="center"/>
          </w:tcPr>
          <w:p>
            <w:pPr>
              <w:keepNext w:val="0"/>
              <w:keepLines w:val="0"/>
              <w:pageBreakBefore w:val="0"/>
              <w:widowControl w:val="0"/>
              <w:kinsoku/>
              <w:wordWrap/>
              <w:overflowPunct/>
              <w:topLinePunct w:val="0"/>
              <w:autoSpaceDE/>
              <w:autoSpaceDN/>
              <w:bidi w:val="0"/>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36</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widowControl w:val="0"/>
              <w:numPr>
                <w:ilvl w:val="0"/>
                <w:numId w:val="0"/>
              </w:numPr>
              <w:spacing w:after="120"/>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pacing w:val="-11"/>
                <w:kern w:val="0"/>
                <w:sz w:val="28"/>
                <w:szCs w:val="28"/>
                <w:lang w:val="en-US" w:eastAsia="zh-CN" w:bidi="ar-SA"/>
              </w:rPr>
              <w:t>宫颈病变精准筛查新技术研发及应用</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37</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bCs/>
                <w:color w:val="auto"/>
                <w:kern w:val="0"/>
                <w:sz w:val="28"/>
                <w:szCs w:val="28"/>
                <w:lang w:val="en-US" w:eastAsia="zh-CN" w:bidi="ar-SA"/>
              </w:rPr>
            </w:pPr>
            <w:r>
              <w:rPr>
                <w:rFonts w:hint="default" w:ascii="Times New Roman" w:hAnsi="Times New Roman" w:eastAsia="仿宋_GB2312" w:cs="Times New Roman"/>
                <w:kern w:val="0"/>
                <w:sz w:val="28"/>
                <w:szCs w:val="28"/>
              </w:rPr>
              <w:t>恶性肿瘤淋巴结转移诊疗关键技术研究及应用</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38</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老年期痴呆评估和神经调控治疗关键技术研究</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39</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同步心源多模态信号的心脏监测关键技术研发</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40</w:t>
            </w:r>
          </w:p>
        </w:tc>
        <w:tc>
          <w:tcPr>
            <w:tcW w:w="1507" w:type="dxa"/>
            <w:vMerge w:val="restart"/>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Hans"/>
              </w:rPr>
              <w:t>公共安全</w:t>
            </w:r>
            <w:r>
              <w:rPr>
                <w:rFonts w:hint="default" w:ascii="Times New Roman" w:hAnsi="Times New Roman" w:eastAsia="仿宋_GB2312" w:cs="Times New Roman"/>
                <w:sz w:val="28"/>
                <w:szCs w:val="28"/>
                <w:lang w:val="en" w:eastAsia="zh-Hans"/>
              </w:rPr>
              <w:t>与</w:t>
            </w:r>
            <w:r>
              <w:rPr>
                <w:rFonts w:hint="default" w:ascii="Times New Roman" w:hAnsi="Times New Roman" w:eastAsia="仿宋_GB2312" w:cs="Times New Roman"/>
                <w:sz w:val="28"/>
                <w:szCs w:val="28"/>
              </w:rPr>
              <w:t>城镇化</w:t>
            </w:r>
            <w:r>
              <w:rPr>
                <w:rFonts w:hint="default" w:ascii="Times New Roman" w:hAnsi="Times New Roman" w:eastAsia="仿宋_GB2312" w:cs="Times New Roman"/>
                <w:sz w:val="28"/>
                <w:szCs w:val="28"/>
                <w:lang w:val="en"/>
              </w:rPr>
              <w:t>建设</w:t>
            </w: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环境友好型危险化学品泄漏事故应急处置关键技术与装备研究</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41</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kinsoku/>
              <w:wordWrap/>
              <w:overflowPunct/>
              <w:topLinePunct w:val="0"/>
              <w:autoSpaceDE/>
              <w:autoSpaceDN/>
              <w:bidi w:val="0"/>
              <w:adjustRightInd w:val="0"/>
              <w:snapToGrid w:val="0"/>
              <w:spacing w:line="340" w:lineRule="exact"/>
              <w:ind w:firstLine="0" w:firstLineChars="0"/>
              <w:jc w:val="both"/>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食源性致病菌控制关键技术研究及应用示范</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42</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低空经济气象安全保障关键技术研究与应用示范</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43</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adjustRightInd w:val="0"/>
              <w:snapToGrid w:val="0"/>
              <w:spacing w:line="52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spacing w:val="-17"/>
                <w:kern w:val="0"/>
                <w:sz w:val="28"/>
                <w:szCs w:val="28"/>
              </w:rPr>
              <w:t>古陶瓷基因库建立关键技术与应用示范</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44</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复杂气候条件下非煤矿山边坡监测预警及稳定性控制关键技术研究</w:t>
            </w:r>
          </w:p>
        </w:tc>
        <w:tc>
          <w:tcPr>
            <w:tcW w:w="2590" w:type="dxa"/>
            <w:vAlign w:val="center"/>
          </w:tcPr>
          <w:p>
            <w:pPr>
              <w:keepNext w:val="0"/>
              <w:keepLines w:val="0"/>
              <w:pageBreakBefore w:val="0"/>
              <w:widowControl w:val="0"/>
              <w:kinsoku/>
              <w:wordWrap/>
              <w:overflowPunct/>
              <w:topLinePunct w:val="0"/>
              <w:autoSpaceDE/>
              <w:autoSpaceDN/>
              <w:bidi w:val="0"/>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45</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w w:val="90"/>
                <w:kern w:val="0"/>
                <w:sz w:val="28"/>
                <w:szCs w:val="28"/>
              </w:rPr>
              <w:t>江西省典型区域洪涝灾害预报预警系统关键技术研发</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46</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kern w:val="0"/>
                <w:sz w:val="28"/>
                <w:szCs w:val="28"/>
              </w:rPr>
              <w:t>公路边坡地质灾害智能识别与监测预警关键技术研究及应用示范</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青年科学家项目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06" w:type="dxa"/>
            <w:vAlign w:val="center"/>
          </w:tcPr>
          <w:p>
            <w:pPr>
              <w:keepNext w:val="0"/>
              <w:keepLines w:val="0"/>
              <w:pageBreakBefore w:val="0"/>
              <w:widowControl/>
              <w:numPr>
                <w:ilvl w:val="0"/>
                <w:numId w:val="0"/>
              </w:numPr>
              <w:kinsoku/>
              <w:wordWrap/>
              <w:overflowPunct/>
              <w:topLinePunct w:val="0"/>
              <w:autoSpaceDE/>
              <w:autoSpaceDN/>
              <w:bidi w:val="0"/>
              <w:spacing w:line="340" w:lineRule="exact"/>
              <w:ind w:leftChars="0"/>
              <w:jc w:val="center"/>
              <w:textAlignment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47</w:t>
            </w:r>
          </w:p>
        </w:tc>
        <w:tc>
          <w:tcPr>
            <w:tcW w:w="1507" w:type="dxa"/>
            <w:vMerge w:val="continue"/>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rPr>
            </w:pPr>
          </w:p>
        </w:tc>
        <w:tc>
          <w:tcPr>
            <w:tcW w:w="443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0" w:firstLineChars="0"/>
              <w:jc w:val="both"/>
              <w:textAlignment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kern w:val="0"/>
                <w:sz w:val="28"/>
                <w:szCs w:val="28"/>
              </w:rPr>
              <w:t>绿色低碳建筑智能设计与建造关键技术研究及示范</w:t>
            </w:r>
          </w:p>
        </w:tc>
        <w:tc>
          <w:tcPr>
            <w:tcW w:w="2590" w:type="dxa"/>
            <w:vAlign w:val="center"/>
          </w:tcPr>
          <w:p>
            <w:pPr>
              <w:keepNext w:val="0"/>
              <w:keepLines w:val="0"/>
              <w:pageBreakBefore w:val="0"/>
              <w:kinsoku/>
              <w:wordWrap/>
              <w:overflowPunct/>
              <w:topLinePunct w:val="0"/>
              <w:autoSpaceDE/>
              <w:autoSpaceDN/>
              <w:bidi w:val="0"/>
              <w:spacing w:line="340" w:lineRule="exact"/>
              <w:ind w:firstLine="0" w:firstLineChars="0"/>
              <w:jc w:val="center"/>
              <w:rPr>
                <w:rFonts w:hint="default" w:ascii="Times New Roman" w:hAnsi="Times New Roman" w:eastAsia="仿宋_GB2312" w:cs="Times New Roman"/>
                <w:color w:val="auto"/>
                <w:kern w:val="0"/>
                <w:sz w:val="28"/>
                <w:szCs w:val="28"/>
                <w:highlight w:val="none"/>
                <w:lang w:val="en-US" w:eastAsia="zh-CN" w:bidi="ar-SA"/>
              </w:rPr>
            </w:pPr>
          </w:p>
        </w:tc>
      </w:tr>
    </w:tbl>
    <w:p>
      <w:pPr>
        <w:keepNext w:val="0"/>
        <w:keepLines w:val="0"/>
        <w:pageBreakBefore w:val="0"/>
        <w:widowControl w:val="0"/>
        <w:kinsoku/>
        <w:wordWrap/>
        <w:overflowPunct/>
        <w:topLinePunct/>
        <w:autoSpaceDE w:val="0"/>
        <w:autoSpaceDN/>
        <w:bidi w:val="0"/>
        <w:snapToGrid/>
        <w:spacing w:line="580" w:lineRule="exact"/>
        <w:ind w:left="0" w:leftChars="0" w:firstLine="640" w:firstLineChars="200"/>
        <w:jc w:val="both"/>
        <w:textAlignment w:val="auto"/>
        <w:outlineLvl w:val="1"/>
        <w:rPr>
          <w:rFonts w:hint="default" w:ascii="Times New Roman" w:hAnsi="Times New Roman" w:eastAsia="黑体" w:cs="Times New Roman"/>
          <w:b w:val="0"/>
          <w:bCs w:val="0"/>
          <w:sz w:val="32"/>
          <w:szCs w:val="32"/>
          <w:highlight w:val="none"/>
        </w:rPr>
      </w:pPr>
      <w:bookmarkStart w:id="0" w:name="_Toc89866536"/>
      <w:r>
        <w:rPr>
          <w:rFonts w:hint="default" w:ascii="Times New Roman" w:hAnsi="Times New Roman" w:eastAsia="黑体" w:cs="Times New Roman"/>
          <w:b w:val="0"/>
          <w:bCs w:val="0"/>
          <w:sz w:val="32"/>
          <w:szCs w:val="32"/>
          <w:highlight w:val="none"/>
        </w:rPr>
        <w:t>一、资源</w:t>
      </w:r>
      <w:r>
        <w:rPr>
          <w:rFonts w:hint="default" w:ascii="Times New Roman" w:hAnsi="Times New Roman" w:eastAsia="黑体" w:cs="Times New Roman"/>
          <w:b w:val="0"/>
          <w:bCs w:val="0"/>
          <w:sz w:val="32"/>
          <w:szCs w:val="32"/>
          <w:highlight w:val="none"/>
          <w:lang w:eastAsia="zh-CN"/>
        </w:rPr>
        <w:t>与生态</w:t>
      </w:r>
      <w:r>
        <w:rPr>
          <w:rFonts w:hint="default" w:ascii="Times New Roman" w:hAnsi="Times New Roman" w:eastAsia="黑体" w:cs="Times New Roman"/>
          <w:b w:val="0"/>
          <w:bCs w:val="0"/>
          <w:sz w:val="32"/>
          <w:szCs w:val="32"/>
          <w:highlight w:val="none"/>
        </w:rPr>
        <w:t>环境领域</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印制电路板（PCB）行业全链条减污降碳协同关键技术及应用示范</w:t>
      </w:r>
      <w:r>
        <w:rPr>
          <w:rFonts w:hint="default" w:ascii="Times New Roman" w:hAnsi="Times New Roman" w:eastAsia="仿宋_GB2312" w:cs="Times New Roman"/>
          <w:b/>
          <w:bCs/>
          <w:sz w:val="32"/>
          <w:szCs w:val="32"/>
          <w:highlight w:val="none"/>
          <w:lang w:eastAsia="zh-CN"/>
        </w:rPr>
        <w:t>（青年科学家项目）</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研究内容：</w:t>
      </w:r>
      <w:r>
        <w:rPr>
          <w:rFonts w:hint="default" w:ascii="Times New Roman" w:hAnsi="Times New Roman" w:eastAsia="仿宋_GB2312" w:cs="Times New Roman"/>
          <w:i w:val="0"/>
          <w:color w:val="000000"/>
          <w:kern w:val="0"/>
          <w:sz w:val="32"/>
          <w:szCs w:val="32"/>
          <w:u w:val="none"/>
          <w:lang w:val="en-US" w:eastAsia="zh-CN" w:bidi="ar"/>
        </w:rPr>
        <w:t>开展PCB行业链电路板原料生产、电子元器件材料生产、电路板印刷、电路板消费使用、废电路板回收及安全处置等全链条碳排放和污染物排放数据，建立江西省PCB行业全链条碳排放和污染物排放数据库；开展典型企业和重点产品碳足迹研究，开展有关方法和标准研究；PCB行业全链条减污和降碳耦合关键技术研发及应用；开展典型企业和重点产品碳排放和污染物排放的关键节点核算监测，识别污染物、碳排放产排节点，计算过程排放和减排潜力；开展原料替代、过程控制、末端治理等适用技术试点，形成PCB行业全链条减污降碳耦合关键技术</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考核指标：</w:t>
      </w:r>
      <w:r>
        <w:rPr>
          <w:rFonts w:hint="default" w:ascii="Times New Roman" w:hAnsi="Times New Roman" w:eastAsia="仿宋_GB2312" w:cs="Times New Roman"/>
          <w:kern w:val="0"/>
          <w:sz w:val="32"/>
          <w:szCs w:val="32"/>
        </w:rPr>
        <w:t>建立PCB行业全链条碳排放和污染物排放数据库1套，完成典型电路板产品生命周期评价不少于2种；研发PCB行业全链条减污降碳耦合关键技术不少于1项，碳排放和其他污染排放强度分别降低30%和10%以上，并在2家或以上企业示范应用；制定减污降碳有关团体/地方标准不少于1项；发表高水平论文3篇以上，申请或授权发明专利2项以上</w:t>
      </w:r>
      <w:r>
        <w:rPr>
          <w:rFonts w:hint="default" w:ascii="Times New Roman" w:hAnsi="Times New Roman" w:eastAsia="仿宋_GB2312" w:cs="Times New Roman"/>
          <w:sz w:val="32"/>
          <w:szCs w:val="32"/>
          <w:highlight w:val="none"/>
        </w:rPr>
        <w:t>。</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pacing w:val="-11"/>
          <w:sz w:val="32"/>
          <w:szCs w:val="32"/>
          <w:highlight w:val="none"/>
        </w:rPr>
      </w:pPr>
      <w:r>
        <w:rPr>
          <w:rFonts w:hint="default" w:ascii="Times New Roman" w:hAnsi="Times New Roman" w:eastAsia="仿宋_GB2312" w:cs="Times New Roman"/>
          <w:b/>
          <w:bCs/>
          <w:spacing w:val="-11"/>
          <w:sz w:val="32"/>
          <w:szCs w:val="32"/>
          <w:highlight w:val="none"/>
        </w:rPr>
        <w:t>高效催化脱除挥发性有机污染技术研究与应用</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研究内容：</w:t>
      </w:r>
      <w:r>
        <w:rPr>
          <w:rFonts w:hint="default" w:ascii="Times New Roman" w:hAnsi="Times New Roman" w:eastAsia="仿宋_GB2312" w:cs="Times New Roman"/>
          <w:i w:val="0"/>
          <w:color w:val="000000"/>
          <w:kern w:val="0"/>
          <w:sz w:val="32"/>
          <w:szCs w:val="32"/>
          <w:u w:val="none"/>
          <w:lang w:val="en-US" w:eastAsia="zh-CN" w:bidi="ar"/>
        </w:rPr>
        <w:t>针对石化、医药、有机化工、工业涂装和包装印刷等重点行业，开展 VOCs 废气的高效安全治理，研制具有高选择性、高催化活性、热稳定性、可调性和可再生性的分子筛基催化材料及成型技术，研究VOCs高效脱除机理；对催化材料的耐毒性和热稳定性开展研究，开展降低催化材料成本研究，形成系列VOCs催化净化材料，开发VOCs高效治理技术工艺，并开展工程应用示范</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考核指标：</w:t>
      </w:r>
      <w:r>
        <w:rPr>
          <w:rFonts w:hint="default" w:ascii="Times New Roman" w:hAnsi="Times New Roman" w:eastAsia="仿宋_GB2312" w:cs="Times New Roman"/>
          <w:kern w:val="0"/>
          <w:sz w:val="32"/>
          <w:szCs w:val="32"/>
        </w:rPr>
        <w:t>研制出具有污染物协同脱除作用的高效耐毒低成本分子筛基催化净化材料不少于1种，催化材料 85%污染物转化的最低反应温度≤ 380℃，净化效率≥ 99%，对于含杂原子 VOCs，净化效率&gt;95%，催化剂成本降低 10%以上；开发VOCs和不同污染物协同脱除控制装备不少于1套，并形成应用示范工程不少于1个；工业规模级示范工程稳定运行超过1000小时，VOCs污染物排放浓度优于国家标准限值；编制由省级及以上政府主管部门发布的典型行业挥发性有机物协同防治技术规范1-2项；发表高水平论文4篇以上；申请或授权发明专利3项以上</w:t>
      </w:r>
      <w:r>
        <w:rPr>
          <w:rFonts w:hint="default" w:ascii="Times New Roman" w:hAnsi="Times New Roman" w:eastAsia="仿宋_GB2312" w:cs="Times New Roman"/>
          <w:sz w:val="32"/>
          <w:szCs w:val="32"/>
          <w:highlight w:val="none"/>
        </w:rPr>
        <w:t>。</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省际交界区域大气复合污染与气候变化协同应对技术与应用</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研究内容：</w:t>
      </w:r>
      <w:r>
        <w:rPr>
          <w:rFonts w:hint="default" w:ascii="Times New Roman" w:hAnsi="Times New Roman" w:eastAsia="仿宋_GB2312" w:cs="Times New Roman"/>
          <w:i w:val="0"/>
          <w:color w:val="000000"/>
          <w:kern w:val="0"/>
          <w:sz w:val="32"/>
          <w:szCs w:val="32"/>
          <w:u w:val="none"/>
          <w:lang w:val="en-US" w:eastAsia="zh-CN" w:bidi="ar"/>
        </w:rPr>
        <w:t>针对江西省际交界区域受传输影响大、污染成因机制不明、污染排放底数不清等现状，聚焦大气PM2.5和臭氧协同防控、基本消除重污染天气和遏制PM2.5反弹态势等重点问题，建立大气污染物组分及温室气体的本地化、动态化、精细化排放管控清单；开展综合同步观测和模拟，研究大气PM2.5与臭氧及其前体物变化特征，定量评估气象、排放、传输、二次转化的贡献；建立本地化污染预警预报、管控效果快速评估等技术，集成并完善集“监测分析、预报预警、成因分析、应急调控、效果评估”为一体的污染天气应对技术体系，并在典型省际交界区域开展区域联防联控和重污染天气应对的应用示范</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宋体" w:cs="Times New Roman"/>
          <w:sz w:val="32"/>
          <w:szCs w:val="32"/>
          <w:highlight w:val="none"/>
        </w:rPr>
      </w:pPr>
      <w:r>
        <w:rPr>
          <w:rFonts w:hint="default" w:ascii="Times New Roman" w:hAnsi="Times New Roman" w:eastAsia="仿宋_GB2312" w:cs="Times New Roman"/>
          <w:b/>
          <w:bCs/>
          <w:sz w:val="32"/>
          <w:szCs w:val="32"/>
          <w:highlight w:val="none"/>
        </w:rPr>
        <w:t>考核指标：</w:t>
      </w:r>
      <w:r>
        <w:rPr>
          <w:rFonts w:hint="default" w:ascii="Times New Roman" w:hAnsi="Times New Roman" w:eastAsia="仿宋_GB2312" w:cs="Times New Roman"/>
          <w:kern w:val="0"/>
          <w:sz w:val="32"/>
          <w:szCs w:val="32"/>
        </w:rPr>
        <w:t>建立大气污染物组分及温室气体排放管控清单1份；研发适用于本地化的污染预警预报、管控效果快速评估等大气污染防治技术2项，并开展应用示范，实现7天区域重污染预报准确率不低于90%，臭氧污染预报准确率不低于80%。</w:t>
      </w:r>
      <w:r>
        <w:rPr>
          <w:rFonts w:hint="default" w:ascii="Times New Roman" w:hAnsi="Times New Roman" w:eastAsia="仿宋_GB2312" w:cs="Times New Roman"/>
          <w:i w:val="0"/>
          <w:iCs w:val="0"/>
          <w:color w:val="000000"/>
          <w:kern w:val="0"/>
          <w:sz w:val="32"/>
          <w:szCs w:val="32"/>
          <w:u w:val="none"/>
          <w:lang w:val="en-US" w:eastAsia="zh-CN" w:bidi="ar"/>
        </w:rPr>
        <w:t>并至少在一个省际交界的设区市开展大气污染防治应用示范，与省外上风向区县建立区域联防联控机制，有效支撑示范区环境空气质量持续改善</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发表高水平论文不少于5篇，申请或授权发明专利不少于2项</w:t>
      </w:r>
      <w:r>
        <w:rPr>
          <w:rFonts w:hint="default" w:ascii="Times New Roman" w:hAnsi="Times New Roman" w:eastAsia="仿宋_GB2312" w:cs="Times New Roman"/>
          <w:sz w:val="32"/>
          <w:szCs w:val="32"/>
          <w:highlight w:val="none"/>
        </w:rPr>
        <w:t>。</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lang w:eastAsia="zh-CN"/>
        </w:rPr>
        <w:t>洪枯交替对鄱阳湖碟形湖区水文连通及水生态健康影响及其优化调控</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研究内容：</w:t>
      </w:r>
      <w:r>
        <w:rPr>
          <w:rFonts w:hint="default" w:ascii="Times New Roman" w:hAnsi="Times New Roman" w:eastAsia="仿宋_GB2312" w:cs="Times New Roman"/>
          <w:sz w:val="32"/>
          <w:szCs w:val="32"/>
          <w:highlight w:val="none"/>
        </w:rPr>
        <w:t>系统开展野外水量、水环境及水生态监测，解析洪枯交替对碟形湖水文连通与水生态影响及其关键因子；研发鄱阳湖碟形湖区水生态健康评价技术，解析碟形湖区与主湖区之间的物质交换规律，阐明水生态健康的阈值行为及与水文连通的耦联机制；研发鄱阳湖碟形湖区水动力-水环境-水生态耦合数值模型，构建短期和长期的碟形湖水文连通格局优化调控技术，预测碟形湖水生态健康响应过程，并对赣抚尾闾工程的影响效应做出评价，提出鄱阳湖碟形湖区水文连通优化及水生态健康动态调控策略。</w:t>
      </w:r>
    </w:p>
    <w:p>
      <w:pPr>
        <w:keepNext w:val="0"/>
        <w:keepLines w:val="0"/>
        <w:pageBreakBefore w:val="0"/>
        <w:widowControl w:val="0"/>
        <w:tabs>
          <w:tab w:val="left" w:pos="0"/>
        </w:tabs>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考核指标：</w:t>
      </w:r>
      <w:r>
        <w:rPr>
          <w:rFonts w:hint="default" w:ascii="Times New Roman" w:hAnsi="Times New Roman" w:eastAsia="仿宋_GB2312" w:cs="Times New Roman"/>
          <w:sz w:val="32"/>
          <w:szCs w:val="32"/>
          <w:highlight w:val="none"/>
        </w:rPr>
        <w:t>构建典型碟形湖的历史数据库1套，包含水位、水体氮磷、浮游动物、浮游植物、洲滩植被等水生态环境要素；研发碟形湖水生态健康诊断技术1套；构建适用于鄱阳湖碟形湖的水动力-水环境-水生态模型，开发鄱阳湖碟形湖的水动力-水环境-水生态可视化模拟平台1个，提出鄱阳湖碟形湖区水生态健康动态调控策略1套；开展示范应用2项；发表高水平论文3篇以上，申请或授权发明专利2项以上。</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赣江流域水工程多目标协同优化调度关键技术研究及应用</w:t>
      </w:r>
      <w:r>
        <w:rPr>
          <w:rFonts w:hint="default" w:ascii="Times New Roman" w:hAnsi="Times New Roman" w:eastAsia="仿宋_GB2312" w:cs="Times New Roman"/>
          <w:b/>
          <w:bCs/>
          <w:sz w:val="32"/>
          <w:szCs w:val="32"/>
          <w:highlight w:val="none"/>
          <w:lang w:eastAsia="zh-CN"/>
        </w:rPr>
        <w:t>（青年科学家项目）</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研究内容：</w:t>
      </w:r>
      <w:r>
        <w:rPr>
          <w:rFonts w:hint="default" w:ascii="Times New Roman" w:hAnsi="Times New Roman" w:eastAsia="仿宋_GB2312" w:cs="Times New Roman"/>
          <w:sz w:val="32"/>
          <w:szCs w:val="32"/>
          <w:highlight w:val="none"/>
        </w:rPr>
        <w:t>针对</w:t>
      </w:r>
      <w:r>
        <w:rPr>
          <w:rFonts w:hint="default" w:ascii="Times New Roman" w:hAnsi="Times New Roman" w:eastAsia="仿宋_GB2312" w:cs="Times New Roman"/>
          <w:i w:val="0"/>
          <w:color w:val="000000"/>
          <w:kern w:val="0"/>
          <w:sz w:val="32"/>
          <w:szCs w:val="32"/>
          <w:u w:val="none"/>
          <w:lang w:val="en-US" w:eastAsia="zh-CN" w:bidi="ar"/>
        </w:rPr>
        <w:t>赣江流域梯级水库、闸坝工程多、水力联系紧密、涉水需求多元、协同调度复杂等问题，以维护变化条件下流域水资源安全、保障防洪、发电和通航协同效益为目标，开展赣江流域骨干水工程多维复杂调度需求协同效应研究，形成赣江流域水工程多目标调度技术；研究赣江流域水工程多目标调度模型及高效优化方法，提出赣江流域水工程多目标调度方案，开展示范应用，为保障流域水资源可持续利用提供技术支撑</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rPr>
        <w:t>考核指标：</w:t>
      </w:r>
      <w:r>
        <w:rPr>
          <w:rFonts w:hint="default" w:ascii="Times New Roman" w:hAnsi="Times New Roman" w:eastAsia="仿宋_GB2312" w:cs="Times New Roman"/>
          <w:kern w:val="0"/>
          <w:sz w:val="32"/>
          <w:szCs w:val="32"/>
        </w:rPr>
        <w:t>阐明赣江流域骨干水工程多维复杂调度需求协同效应，研发赣江流域水工程多目标调度技术1</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2套；研发多维调度需求的赣江流域水库群运行调度方案1套；开展示范应用；申请或授权发明专利2项以上，发表高水平学术论文5篇以上</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重点水域水生生物多样性保育及水生态健康提升关键技术与应用</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研究内容：</w:t>
      </w:r>
      <w:r>
        <w:rPr>
          <w:rFonts w:hint="default" w:ascii="Times New Roman" w:hAnsi="Times New Roman" w:eastAsia="仿宋_GB2312" w:cs="Times New Roman"/>
          <w:i w:val="0"/>
          <w:color w:val="000000"/>
          <w:kern w:val="0"/>
          <w:sz w:val="32"/>
          <w:szCs w:val="32"/>
          <w:u w:val="none"/>
          <w:lang w:val="en-US" w:eastAsia="zh-CN" w:bidi="ar"/>
        </w:rPr>
        <w:t>针对长江流域（江西段）重点水域水生生物多样性指数偏低、部分水生生物类群退化严重、部分水域水生态考核得分不高等突出问题，开展重点水域水生态考核的核心水生生物类群多样性多维度信息研究，以及水生态健康现状监测评价；分析水生生物多样性和水生态健康演变趋势、退化原因及机制；阐明水生生物多样性网络和食物网维持机制，及其与水生态健康状况之间的关系；研发典型考核类群重要栖息地多维度精准保育修复和水生态健康提升技术，开展应用示范</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考核指标：</w:t>
      </w:r>
      <w:r>
        <w:rPr>
          <w:rFonts w:hint="default" w:ascii="Times New Roman" w:hAnsi="Times New Roman" w:eastAsia="仿宋_GB2312" w:cs="Times New Roman"/>
          <w:kern w:val="0"/>
          <w:sz w:val="32"/>
          <w:szCs w:val="32"/>
        </w:rPr>
        <w:t>构建具有江西省特色的水生生物多样性监测评价体系1套；研发水生生物自动监测设备及相关使用方法理论体系不少于1套；构建水生态考核重点水域水生生物eDNA宏条形码数据库1套；提出典型考核类群栖息地恢复与物种多样性维持或精准提升、群落结构精准优化、水生态系统健康精准提升等关键技术不少于3套；发布水生态考核类群的栖息地保护或水生态健康提升技术标准1项；开展应用示范不少于2处；提出水生态考核水域水生生物多样性维持和水生态系统健康提升方案不少于1套；申报或授权发明专利3项以上，发表高水平论文3篇以上</w:t>
      </w:r>
      <w:r>
        <w:rPr>
          <w:rFonts w:hint="default" w:ascii="Times New Roman" w:hAnsi="Times New Roman" w:eastAsia="仿宋_GB2312" w:cs="Times New Roman"/>
          <w:sz w:val="32"/>
          <w:szCs w:val="32"/>
          <w:highlight w:val="none"/>
        </w:rPr>
        <w:t>。</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江西省全氟化合物筛查、治理、风险评估与管控关键技术与应用</w:t>
      </w:r>
    </w:p>
    <w:p>
      <w:pPr>
        <w:pStyle w:val="3"/>
        <w:keepNext w:val="0"/>
        <w:keepLines w:val="0"/>
        <w:pageBreakBefore w:val="0"/>
        <w:widowControl w:val="0"/>
        <w:kinsoku/>
        <w:wordWrap/>
        <w:overflowPunct/>
        <w:topLinePunct/>
        <w:autoSpaceDE w:val="0"/>
        <w:autoSpaceDN/>
        <w:bidi w:val="0"/>
        <w:spacing w:after="0" w:afterLines="0" w:line="580" w:lineRule="exact"/>
        <w:ind w:left="0" w:leftChars="0" w:firstLine="643" w:firstLineChars="200"/>
        <w:jc w:val="both"/>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cs="Times New Roman"/>
          <w:b/>
          <w:bCs/>
          <w:sz w:val="32"/>
          <w:szCs w:val="32"/>
          <w:lang w:eastAsia="zh-CN"/>
        </w:rPr>
        <w:t>研究内容：</w:t>
      </w:r>
      <w:r>
        <w:rPr>
          <w:rFonts w:hint="default" w:ascii="Times New Roman" w:hAnsi="Times New Roman" w:eastAsia="仿宋_GB2312" w:cs="Times New Roman"/>
          <w:i w:val="0"/>
          <w:color w:val="000000"/>
          <w:kern w:val="0"/>
          <w:sz w:val="32"/>
          <w:szCs w:val="32"/>
          <w:u w:val="none"/>
          <w:lang w:val="en-US" w:eastAsia="zh-CN" w:bidi="ar"/>
        </w:rPr>
        <w:t>针对新污染物全氟化合物来源不明、积累性强、微量存在、难降解、受干扰大、去除困难等问题，研发高效灵敏的全氟化合物快速筛查技术，建立复杂废水全氟化合物的快检方法体系，开发全氟化合物高效降解、吸附或转化的新材料、新工艺和新技术，提高全氟化合物治理效率，构建全氟化合物风险管控措施，实现全氟化合物高效治理和安全管控。</w:t>
      </w:r>
    </w:p>
    <w:p>
      <w:pPr>
        <w:keepNext w:val="0"/>
        <w:keepLines w:val="0"/>
        <w:pageBreakBefore w:val="0"/>
        <w:widowControl w:val="0"/>
        <w:kinsoku/>
        <w:wordWrap/>
        <w:overflowPunct/>
        <w:topLinePunct/>
        <w:autoSpaceDE w:val="0"/>
        <w:autoSpaceDN/>
        <w:bidi w:val="0"/>
        <w:spacing w:line="580" w:lineRule="exact"/>
        <w:ind w:left="0" w:leftChars="0" w:firstLine="643" w:firstLineChars="200"/>
        <w:jc w:val="both"/>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b/>
          <w:bCs/>
          <w:i w:val="0"/>
          <w:color w:val="000000"/>
          <w:kern w:val="0"/>
          <w:sz w:val="32"/>
          <w:szCs w:val="32"/>
          <w:u w:val="none"/>
          <w:lang w:val="en-US" w:eastAsia="zh-CN" w:bidi="ar"/>
        </w:rPr>
        <w:t>考核指标：</w:t>
      </w:r>
      <w:r>
        <w:rPr>
          <w:rFonts w:hint="default" w:ascii="Times New Roman" w:hAnsi="Times New Roman" w:eastAsia="仿宋_GB2312" w:cs="Times New Roman"/>
          <w:kern w:val="0"/>
          <w:sz w:val="32"/>
          <w:szCs w:val="32"/>
          <w:lang w:val="en-US" w:eastAsia="zh-CN" w:bidi="ar-SA"/>
        </w:rPr>
        <w:t>形成全氟化合物的快速准确靶向检测方法1项；开发废水全氟化合物净化处置技术1项，研制净化处理装置2台套；建成处理规模不小于20t/d的工程示范线1项；形成全氟化合物风险评估及集管控成示范1项。发表高水平论文不少于5篇，申请或授权发明专利2项</w:t>
      </w:r>
      <w:r>
        <w:rPr>
          <w:rFonts w:hint="default" w:ascii="Times New Roman" w:hAnsi="Times New Roman" w:eastAsia="仿宋_GB2312" w:cs="Times New Roman"/>
          <w:i w:val="0"/>
          <w:color w:val="000000"/>
          <w:kern w:val="0"/>
          <w:sz w:val="32"/>
          <w:szCs w:val="32"/>
          <w:u w:val="none"/>
          <w:lang w:val="en-US" w:eastAsia="zh-CN" w:bidi="ar"/>
        </w:rPr>
        <w:t>。</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面向鄱阳湖入湖排污口排水的快速除磷技术装备与应急除磷技术研发及应用</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研究内容：</w:t>
      </w:r>
      <w:r>
        <w:rPr>
          <w:rFonts w:hint="default" w:ascii="Times New Roman" w:hAnsi="Times New Roman" w:eastAsia="仿宋_GB2312" w:cs="Times New Roman"/>
          <w:sz w:val="32"/>
          <w:szCs w:val="32"/>
          <w:highlight w:val="none"/>
        </w:rPr>
        <w:t>针对</w:t>
      </w:r>
      <w:r>
        <w:rPr>
          <w:rFonts w:hint="default" w:ascii="Times New Roman" w:hAnsi="Times New Roman" w:eastAsia="仿宋_GB2312" w:cs="Times New Roman"/>
          <w:i w:val="0"/>
          <w:color w:val="000000"/>
          <w:kern w:val="0"/>
          <w:sz w:val="32"/>
          <w:szCs w:val="32"/>
          <w:u w:val="none"/>
          <w:lang w:val="en-US" w:eastAsia="zh-CN" w:bidi="ar"/>
        </w:rPr>
        <w:t>鄱阳湖入湖排污口总磷污染管控难度大、出水要求严、常规技术适应性差等问题，研发高效快速除磷降浊的超磁处理系统、磷回收技术；开发智能型自动化排水处理一体化装备，实现精准控制、智能化运行与高效处理；针对内湖型入湖排污口的总磷应急控制难题，创制高效应急除磷配方，大幅降低内湖排污口总磷排放浓度；开展技术集成与工程应用</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宋体" w:cs="Times New Roman"/>
          <w:sz w:val="32"/>
          <w:szCs w:val="32"/>
          <w:highlight w:val="none"/>
        </w:rPr>
      </w:pPr>
      <w:r>
        <w:rPr>
          <w:rFonts w:hint="default" w:ascii="Times New Roman" w:hAnsi="Times New Roman" w:eastAsia="仿宋_GB2312" w:cs="Times New Roman"/>
          <w:b/>
          <w:bCs/>
          <w:sz w:val="32"/>
          <w:szCs w:val="32"/>
          <w:highlight w:val="none"/>
        </w:rPr>
        <w:t>考核指标：</w:t>
      </w:r>
      <w:r>
        <w:rPr>
          <w:rFonts w:hint="default" w:ascii="Times New Roman" w:hAnsi="Times New Roman" w:eastAsia="仿宋_GB2312" w:cs="Times New Roman"/>
          <w:kern w:val="0"/>
          <w:sz w:val="32"/>
          <w:szCs w:val="32"/>
        </w:rPr>
        <w:t>开发适用于环鄱阳湖区的高效快速除磷降浊的处理关键技术1项，实现出水总磷浓度低于0.05 mg/L；研制一体化智能除磷系统装备1台套；研制总磷应急处理新型药剂或材料2种；完成不低于600 t/d的中试，开展面积不小于10亩的水面应急治理示范，出水总磷浓度均达到0.05 mg/L以内；制订省级地方标准1-2项；发表高水平论文不少于5篇，申请或授权发明专利不少于3项</w:t>
      </w:r>
      <w:r>
        <w:rPr>
          <w:rFonts w:hint="default" w:ascii="Times New Roman" w:hAnsi="Times New Roman" w:eastAsia="仿宋_GB2312" w:cs="Times New Roman"/>
          <w:sz w:val="32"/>
          <w:szCs w:val="32"/>
          <w:highlight w:val="none"/>
        </w:rPr>
        <w:t>。</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工业含氟污泥高值利用关键技术研究与装备集成示范</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研究内容：</w:t>
      </w:r>
      <w:r>
        <w:rPr>
          <w:rFonts w:hint="default" w:ascii="Times New Roman" w:hAnsi="Times New Roman" w:eastAsia="仿宋_GB2312" w:cs="Times New Roman"/>
          <w:sz w:val="32"/>
          <w:szCs w:val="32"/>
          <w:highlight w:val="none"/>
        </w:rPr>
        <w:t>针对</w:t>
      </w:r>
      <w:r>
        <w:rPr>
          <w:rFonts w:hint="default" w:ascii="Times New Roman" w:hAnsi="Times New Roman" w:eastAsia="仿宋_GB2312" w:cs="Times New Roman"/>
          <w:i w:val="0"/>
          <w:color w:val="000000"/>
          <w:kern w:val="0"/>
          <w:sz w:val="32"/>
          <w:szCs w:val="32"/>
          <w:u w:val="none"/>
          <w:lang w:val="en-US" w:eastAsia="zh-CN" w:bidi="ar"/>
        </w:rPr>
        <w:t>光电、电子信息、锂电等有关工业行业含氟废水处理过程中的氟化钙污泥高值利用问题，重点开展氟化钙污泥梯级综合利用技术研究；研制氟化钙污泥制备工业级氟化钙产品、精炼剂技术及装备，建设氟化钙污泥高值利用示范线，为实现氟化钙污泥高值利用提供保障</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宋体" w:cs="Times New Roman"/>
          <w:sz w:val="32"/>
          <w:szCs w:val="32"/>
          <w:highlight w:val="none"/>
        </w:rPr>
      </w:pPr>
      <w:r>
        <w:rPr>
          <w:rFonts w:hint="default" w:ascii="Times New Roman" w:hAnsi="Times New Roman" w:eastAsia="仿宋_GB2312" w:cs="Times New Roman"/>
          <w:b/>
          <w:bCs/>
          <w:sz w:val="32"/>
          <w:szCs w:val="32"/>
          <w:highlight w:val="none"/>
        </w:rPr>
        <w:t>考核指标：</w:t>
      </w:r>
      <w:r>
        <w:rPr>
          <w:rFonts w:hint="default" w:ascii="Times New Roman" w:hAnsi="Times New Roman" w:eastAsia="仿宋_GB2312" w:cs="Times New Roman"/>
          <w:kern w:val="0"/>
          <w:sz w:val="32"/>
          <w:szCs w:val="32"/>
        </w:rPr>
        <w:t>形成氟化钙污泥高值利用技术，氟化钙污泥综合利用资源化率大于90%，其中产工业级萤石产品率不低于30%，精炼剂产品率不低于40%；建设氟化钙污泥制备工业级</w:t>
      </w:r>
      <w:r>
        <w:rPr>
          <w:rFonts w:hint="default" w:ascii="Times New Roman" w:hAnsi="Times New Roman" w:eastAsia="仿宋_GB2312" w:cs="Times New Roman"/>
          <w:kern w:val="0"/>
          <w:sz w:val="32"/>
          <w:szCs w:val="32"/>
          <w:lang w:val="en-US" w:eastAsia="zh-CN"/>
        </w:rPr>
        <w:t>氟化钙产品</w:t>
      </w:r>
      <w:r>
        <w:rPr>
          <w:rFonts w:hint="default" w:ascii="Times New Roman" w:hAnsi="Times New Roman" w:eastAsia="仿宋_GB2312" w:cs="Times New Roman"/>
          <w:kern w:val="0"/>
          <w:sz w:val="32"/>
          <w:szCs w:val="32"/>
        </w:rPr>
        <w:t>、精炼剂技术年处理污泥10万吨示范线，稳定运行90天以上，“三废”满足现执行国家或行业相关标准；制定行业标准/团体标准1项；发表高水平论文4篇以上。申请受理发明专利2项以上</w:t>
      </w:r>
      <w:r>
        <w:rPr>
          <w:rFonts w:hint="default" w:ascii="Times New Roman" w:hAnsi="Times New Roman" w:eastAsia="仿宋_GB2312" w:cs="Times New Roman"/>
          <w:sz w:val="32"/>
          <w:szCs w:val="32"/>
          <w:highlight w:val="none"/>
        </w:rPr>
        <w:t>。</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鄱阳湖典型消落带减污固碳植被修复关键技术研发与应用示范</w:t>
      </w:r>
      <w:r>
        <w:rPr>
          <w:rFonts w:hint="default" w:ascii="Times New Roman" w:hAnsi="Times New Roman" w:eastAsia="仿宋_GB2312" w:cs="Times New Roman"/>
          <w:b/>
          <w:bCs/>
          <w:sz w:val="32"/>
          <w:szCs w:val="32"/>
          <w:highlight w:val="none"/>
          <w:lang w:eastAsia="zh-CN"/>
        </w:rPr>
        <w:t>（青年科学家项目）</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研究内容：</w:t>
      </w:r>
      <w:r>
        <w:rPr>
          <w:rFonts w:hint="default" w:ascii="Times New Roman" w:hAnsi="Times New Roman" w:eastAsia="仿宋_GB2312" w:cs="Times New Roman"/>
          <w:i w:val="0"/>
          <w:color w:val="000000"/>
          <w:kern w:val="0"/>
          <w:sz w:val="32"/>
          <w:szCs w:val="32"/>
          <w:u w:val="none"/>
          <w:lang w:val="en-US" w:eastAsia="zh-CN" w:bidi="ar"/>
        </w:rPr>
        <w:t>针对鄱阳湖周期性消落带沉积大量营养物质和重金属元素污染等突出问题，研究营养物质和重金属元素在水文消涨过程中的迁移转化机制；调查植被群落组成及植物多样性，阐明消落带植被退化原因与机制，筛选适宜不同消落带类型的植物工具种，协同提升植物多样性和植被生物量；综合分析不同植被类型下土壤有机碳来源及其分子多样性，研究土壤重金属与有机碳耦合机制，研发适用于水文消涨过程中土壤矿物质有机碳长期封存技术，集成鄱阳湖典型消落带减污固碳植被修复关键技术体系，开展应用示范</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autoSpaceDE w:val="0"/>
        <w:autoSpaceDN/>
        <w:bidi w:val="0"/>
        <w:spacing w:line="580" w:lineRule="exact"/>
        <w:ind w:left="0" w:leftChars="0" w:firstLine="643" w:firstLineChars="200"/>
        <w:jc w:val="both"/>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b/>
          <w:bCs/>
          <w:kern w:val="2"/>
          <w:sz w:val="32"/>
          <w:szCs w:val="32"/>
          <w:highlight w:val="none"/>
          <w:lang w:val="en-US" w:eastAsia="zh-CN" w:bidi="ar-SA"/>
        </w:rPr>
        <w:t>考核指标：</w:t>
      </w:r>
      <w:r>
        <w:rPr>
          <w:rFonts w:hint="default" w:ascii="Times New Roman" w:hAnsi="Times New Roman" w:eastAsia="仿宋_GB2312" w:cs="Times New Roman"/>
          <w:kern w:val="0"/>
          <w:sz w:val="32"/>
          <w:szCs w:val="32"/>
          <w:lang w:val="en-US" w:eastAsia="zh-CN" w:bidi="ar-SA"/>
        </w:rPr>
        <w:t>分别构建鄱阳湖典型消落带营养物质和重金属元素富集状况和分布格局数据集、植被群落结构和植物多样性数据集、土壤有机碳来源及其分子多样性数据集各1套；形成适用于不同消落带类型的植被修复搭配组合3套；研发适用于消落带水文消涨过程中土壤矿物质有机碳长期封存技术1项；集成鄱阳湖典型消落带减污固碳植被修复关键技术体系1套；开展应用示范不少于2个；发表高水平论文3-5篇；申请或授权发明专利2-3项</w:t>
      </w:r>
      <w:r>
        <w:rPr>
          <w:rFonts w:hint="default" w:ascii="Times New Roman" w:hAnsi="Times New Roman" w:eastAsia="仿宋_GB2312" w:cs="Times New Roman"/>
          <w:i w:val="0"/>
          <w:color w:val="000000"/>
          <w:kern w:val="0"/>
          <w:sz w:val="32"/>
          <w:szCs w:val="32"/>
          <w:u w:val="none"/>
          <w:lang w:val="en-US" w:eastAsia="zh-CN" w:bidi="ar"/>
        </w:rPr>
        <w:t>。</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pacing w:val="-11"/>
          <w:sz w:val="32"/>
          <w:szCs w:val="32"/>
          <w:highlight w:val="none"/>
        </w:rPr>
      </w:pPr>
      <w:r>
        <w:rPr>
          <w:rFonts w:hint="default" w:ascii="Times New Roman" w:hAnsi="Times New Roman" w:eastAsia="仿宋_GB2312" w:cs="Times New Roman"/>
          <w:b/>
          <w:bCs/>
          <w:spacing w:val="-11"/>
          <w:sz w:val="32"/>
          <w:szCs w:val="32"/>
          <w:highlight w:val="none"/>
          <w:lang w:eastAsia="zh-CN"/>
        </w:rPr>
        <w:t>典型</w:t>
      </w:r>
      <w:r>
        <w:rPr>
          <w:rFonts w:hint="default" w:ascii="Times New Roman" w:hAnsi="Times New Roman" w:eastAsia="仿宋_GB2312" w:cs="Times New Roman"/>
          <w:b/>
          <w:bCs/>
          <w:spacing w:val="-11"/>
          <w:sz w:val="32"/>
          <w:szCs w:val="32"/>
          <w:highlight w:val="none"/>
        </w:rPr>
        <w:t>行业废水低碳处理与资源化利用关键技术研究及示范</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研究内容：</w:t>
      </w:r>
      <w:r>
        <w:rPr>
          <w:rFonts w:hint="default" w:ascii="Times New Roman" w:hAnsi="Times New Roman" w:eastAsia="仿宋_GB2312" w:cs="Times New Roman"/>
          <w:sz w:val="32"/>
          <w:szCs w:val="32"/>
          <w:highlight w:val="none"/>
        </w:rPr>
        <w:t>针对</w:t>
      </w:r>
      <w:r>
        <w:rPr>
          <w:rFonts w:hint="default" w:ascii="Times New Roman" w:hAnsi="Times New Roman" w:eastAsia="仿宋_GB2312" w:cs="Times New Roman"/>
          <w:i w:val="0"/>
          <w:color w:val="000000"/>
          <w:kern w:val="0"/>
          <w:sz w:val="32"/>
          <w:szCs w:val="32"/>
          <w:u w:val="none"/>
          <w:lang w:val="en-US" w:eastAsia="zh-CN" w:bidi="ar"/>
        </w:rPr>
        <w:t>医药、化工、食品、冶金等某一典型行业废水处理需求，构建典型行业废水水质图谱，明确废水中主要有机/无机污染物种类、含量与来源等特征，进行毒性识别与风险评估；研究典型行业废水处理生命周期过程中碳排放强度变化规律；研发适用于该典型行业废水排放特征的高效低碳处理与资源化技术，研制废水处理及资源化工艺与装备，开展工程示范</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autoSpaceDE w:val="0"/>
        <w:autoSpaceDN/>
        <w:bidi w:val="0"/>
        <w:spacing w:line="580" w:lineRule="exact"/>
        <w:ind w:left="0" w:leftChars="0" w:firstLine="643" w:firstLineChars="20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highlight w:val="none"/>
          <w:lang w:val="en-US" w:eastAsia="zh-CN" w:bidi="ar-SA"/>
        </w:rPr>
        <w:t>考核指标：</w:t>
      </w:r>
      <w:r>
        <w:rPr>
          <w:rFonts w:hint="default" w:ascii="Times New Roman" w:hAnsi="Times New Roman" w:eastAsia="仿宋_GB2312" w:cs="Times New Roman"/>
          <w:kern w:val="0"/>
          <w:sz w:val="32"/>
          <w:szCs w:val="32"/>
          <w:lang w:val="en-US" w:eastAsia="zh-CN" w:bidi="ar-SA"/>
        </w:rPr>
        <w:t>构建典型行业的废水处理生命周期碳排放核算方法及清单1套；研发典型行业废水低碳处理与资源化利用关键技术不少于2项，编制典型行业废水低碳处理与资源化工艺包1个；完成典型行业废水低碳处理与资源化工业规模级示范工程1项，稳定运行不少于90天，行业特征污染物的出水浓度优于该行业国家排放标准限值的30%，污水处理碳排放强度降低30%以上；制定行业或地方标准1项；发表高水平论文3篇以上，申请或授权发明专利2项</w:t>
      </w:r>
      <w:r>
        <w:rPr>
          <w:rFonts w:hint="default" w:ascii="Times New Roman" w:hAnsi="Times New Roman" w:eastAsia="仿宋_GB2312" w:cs="Times New Roman"/>
          <w:color w:val="000000"/>
          <w:kern w:val="0"/>
          <w:sz w:val="32"/>
          <w:szCs w:val="32"/>
          <w:lang w:val="en-US" w:eastAsia="zh-CN" w:bidi="ar"/>
        </w:rPr>
        <w:t>。</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新一代高掺量沥青路面热再生技术及装备研究</w:t>
      </w:r>
    </w:p>
    <w:p>
      <w:pPr>
        <w:keepNext w:val="0"/>
        <w:keepLines w:val="0"/>
        <w:pageBreakBefore w:val="0"/>
        <w:widowControl w:val="0"/>
        <w:kinsoku/>
        <w:wordWrap/>
        <w:overflowPunct/>
        <w:topLinePunct/>
        <w:autoSpaceDE w:val="0"/>
        <w:autoSpaceDN/>
        <w:bidi w:val="0"/>
        <w:adjustRightInd w:val="0"/>
        <w:snapToGrid w:val="0"/>
        <w:spacing w:line="580" w:lineRule="exact"/>
        <w:ind w:left="0" w:leftChars="0" w:firstLine="643" w:firstLineChars="200"/>
        <w:jc w:val="both"/>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b/>
          <w:bCs/>
          <w:kern w:val="2"/>
          <w:sz w:val="32"/>
          <w:szCs w:val="32"/>
          <w:highlight w:val="none"/>
          <w:lang w:val="en-US" w:eastAsia="zh-CN" w:bidi="ar-SA"/>
        </w:rPr>
        <w:t>研究内容：</w:t>
      </w:r>
      <w:r>
        <w:rPr>
          <w:rFonts w:hint="default" w:ascii="Times New Roman" w:hAnsi="Times New Roman" w:eastAsia="仿宋_GB2312" w:cs="Times New Roman"/>
          <w:color w:val="000000"/>
          <w:kern w:val="0"/>
          <w:sz w:val="32"/>
          <w:szCs w:val="32"/>
          <w:lang w:val="en-US" w:eastAsia="zh-CN" w:bidi="ar"/>
        </w:rPr>
        <w:t>针对</w:t>
      </w:r>
      <w:r>
        <w:rPr>
          <w:rFonts w:hint="default" w:ascii="Times New Roman" w:hAnsi="Times New Roman" w:eastAsia="仿宋_GB2312" w:cs="Times New Roman"/>
          <w:i w:val="0"/>
          <w:color w:val="000000"/>
          <w:kern w:val="0"/>
          <w:sz w:val="32"/>
          <w:szCs w:val="32"/>
          <w:u w:val="none"/>
          <w:lang w:val="en-US" w:eastAsia="zh-CN" w:bidi="ar"/>
        </w:rPr>
        <w:t>传统沥青路面热再生技术面临的混合料级配变异性大、沥青回收料（RAP）掺量有限、加热拌合过程中旧沥青老化及RAP中旧沥青利用率低等技术难题，研发RAP料精细化预处理技术、高效再生和综合利用等关键技术及装备，实现RAP料在沥青路面热再生过程的大掺量循环利用</w:t>
      </w:r>
      <w:r>
        <w:rPr>
          <w:rFonts w:hint="default" w:ascii="Times New Roman" w:hAnsi="Times New Roman" w:eastAsia="仿宋_GB2312" w:cs="Times New Roman"/>
          <w:color w:val="000000"/>
          <w:kern w:val="0"/>
          <w:sz w:val="32"/>
          <w:szCs w:val="32"/>
          <w:lang w:val="en-US" w:eastAsia="zh-CN" w:bidi="ar"/>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color w:val="000000"/>
          <w:kern w:val="0"/>
          <w:sz w:val="32"/>
          <w:szCs w:val="32"/>
          <w:lang w:eastAsia="zh-CN" w:bidi="ar"/>
        </w:rPr>
        <w:t>考核指标：</w:t>
      </w:r>
      <w:r>
        <w:rPr>
          <w:rFonts w:hint="default" w:ascii="Times New Roman" w:hAnsi="Times New Roman" w:eastAsia="仿宋_GB2312" w:cs="Times New Roman"/>
          <w:kern w:val="0"/>
          <w:sz w:val="32"/>
          <w:szCs w:val="32"/>
        </w:rPr>
        <w:t>研发RAP料精细化剥离筛分技术，剥离后粗集料沥青含量≤2%，关键筛孔假粒径含量（筛余率偏差）≤10%；研发细集料流态化再生技术，再生沥青砂浆中RAP使用率≥70%、再生沥青混合料稳定度≥10kN、浸水马歇尔强度比≥90%、冻融劈裂强度比≥85%、动稳定度≥4000次/min；研制核心装备1台套，实现上述关键技术和装备在实际工程的集成应用及验证；发表高水平论文3篇以上，申请或授权发明专利2项以上</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0" w:firstLineChars="200"/>
        <w:jc w:val="both"/>
        <w:textAlignment w:val="auto"/>
        <w:outlineLvl w:val="1"/>
        <w:rPr>
          <w:rFonts w:hint="default" w:ascii="Times New Roman" w:hAnsi="Times New Roman" w:eastAsia="黑体" w:cs="Times New Roman"/>
          <w:b w:val="0"/>
          <w:bCs w:val="0"/>
          <w:color w:val="auto"/>
          <w:sz w:val="32"/>
          <w:szCs w:val="32"/>
          <w:highlight w:val="none"/>
          <w:lang w:eastAsia="zh-CN"/>
        </w:rPr>
      </w:pPr>
      <w:r>
        <w:rPr>
          <w:rFonts w:hint="default" w:ascii="Times New Roman" w:hAnsi="Times New Roman" w:eastAsia="黑体" w:cs="Times New Roman"/>
          <w:b w:val="0"/>
          <w:bCs w:val="0"/>
          <w:color w:val="auto"/>
          <w:sz w:val="32"/>
          <w:szCs w:val="32"/>
          <w:highlight w:val="none"/>
          <w:lang w:eastAsia="zh-Hans"/>
        </w:rPr>
        <w:t>二、医药</w:t>
      </w:r>
      <w:r>
        <w:rPr>
          <w:rFonts w:hint="default" w:ascii="Times New Roman" w:hAnsi="Times New Roman" w:eastAsia="黑体" w:cs="Times New Roman"/>
          <w:b w:val="0"/>
          <w:bCs w:val="0"/>
          <w:color w:val="auto"/>
          <w:sz w:val="32"/>
          <w:szCs w:val="32"/>
          <w:highlight w:val="none"/>
        </w:rPr>
        <w:t>领域</w:t>
      </w:r>
      <w:r>
        <w:rPr>
          <w:rFonts w:hint="default" w:ascii="Times New Roman" w:hAnsi="Times New Roman" w:eastAsia="仿宋" w:cs="Times New Roman"/>
          <w:b w:val="0"/>
          <w:bCs w:val="0"/>
          <w:color w:val="auto"/>
          <w:sz w:val="32"/>
          <w:szCs w:val="32"/>
          <w:highlight w:val="none"/>
          <w:lang w:eastAsia="zh-CN"/>
        </w:rPr>
        <w:t>（申报项目名称可根据实际项目内容确定）</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pacing w:val="-11"/>
          <w:kern w:val="2"/>
          <w:sz w:val="32"/>
          <w:szCs w:val="32"/>
          <w:lang w:val="en-US" w:eastAsia="zh-CN" w:bidi="ar-SA"/>
        </w:rPr>
      </w:pPr>
      <w:r>
        <w:rPr>
          <w:rFonts w:hint="default" w:ascii="Times New Roman" w:hAnsi="Times New Roman" w:eastAsia="仿宋_GB2312" w:cs="Times New Roman"/>
          <w:b/>
          <w:bCs/>
          <w:spacing w:val="-11"/>
          <w:kern w:val="2"/>
          <w:sz w:val="32"/>
          <w:szCs w:val="32"/>
          <w:lang w:val="en-US" w:eastAsia="zh-CN" w:bidi="ar-SA"/>
        </w:rPr>
        <w:t>原料药及药物中间体绿色生物制造关键技术研究</w:t>
      </w:r>
    </w:p>
    <w:p>
      <w:pPr>
        <w:keepNext w:val="0"/>
        <w:keepLines w:val="0"/>
        <w:pageBreakBefore w:val="0"/>
        <w:widowControl w:val="0"/>
        <w:kinsoku/>
        <w:wordWrap/>
        <w:overflowPunct/>
        <w:topLinePunct/>
        <w:autoSpaceDE w:val="0"/>
        <w:autoSpaceDN/>
        <w:bidi w:val="0"/>
        <w:adjustRightInd/>
        <w:snapToGrid/>
        <w:spacing w:line="580" w:lineRule="exact"/>
        <w:ind w:left="0" w:leftChars="0" w:firstLine="643"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kern w:val="0"/>
          <w:sz w:val="32"/>
          <w:szCs w:val="32"/>
        </w:rPr>
        <w:t>围绕具有明确疗效</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来源受限</w:t>
      </w:r>
      <w:r>
        <w:rPr>
          <w:rFonts w:hint="default" w:ascii="Times New Roman" w:hAnsi="Times New Roman" w:eastAsia="仿宋_GB2312" w:cs="Times New Roman"/>
          <w:kern w:val="0"/>
          <w:sz w:val="32"/>
          <w:szCs w:val="32"/>
          <w:lang w:val="en-US" w:eastAsia="zh-CN"/>
        </w:rPr>
        <w:t>且应用广泛</w:t>
      </w:r>
      <w:r>
        <w:rPr>
          <w:rFonts w:hint="default" w:ascii="Times New Roman" w:hAnsi="Times New Roman" w:eastAsia="仿宋_GB2312" w:cs="Times New Roman"/>
          <w:kern w:val="0"/>
          <w:sz w:val="32"/>
          <w:szCs w:val="32"/>
        </w:rPr>
        <w:t>的化学药或天然产物，开展底盘细胞、生物菌株的筛选，通过基因挖掘、基因编辑、调控元件等的开发形成具有自主知识产权的工程菌种，制备关键药物中间体或天然活性物质；开展生物菌株发酵技术的研究，确定微生物发酵工艺流程和参数，进行微生物代谢产物的提取分离纯化，确定提取分离工艺路线和参数，以细胞工厂的合成生物技术替代化学合成或</w:t>
      </w:r>
      <w:r>
        <w:rPr>
          <w:rFonts w:hint="default" w:ascii="Times New Roman" w:hAnsi="Times New Roman" w:eastAsia="仿宋_GB2312" w:cs="Times New Roman"/>
          <w:kern w:val="0"/>
          <w:sz w:val="32"/>
          <w:szCs w:val="32"/>
          <w:lang w:val="en-US" w:eastAsia="zh-CN"/>
        </w:rPr>
        <w:t>天然产物</w:t>
      </w:r>
      <w:r>
        <w:rPr>
          <w:rFonts w:hint="default" w:ascii="Times New Roman" w:hAnsi="Times New Roman" w:eastAsia="仿宋_GB2312" w:cs="Times New Roman"/>
          <w:kern w:val="0"/>
          <w:sz w:val="32"/>
          <w:szCs w:val="32"/>
        </w:rPr>
        <w:t>提取分离，提高供应能力、提升产品品质和稳定，降低资源消耗和环境污染，实现绿色制造</w:t>
      </w:r>
      <w:r>
        <w:rPr>
          <w:rFonts w:hint="default"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autoSpaceDE w:val="0"/>
        <w:autoSpaceDN/>
        <w:bidi w:val="0"/>
        <w:adjustRightInd w:val="0"/>
        <w:snapToGrid w:val="0"/>
        <w:spacing w:line="580" w:lineRule="exact"/>
        <w:ind w:left="0" w:leftChars="0" w:firstLine="643" w:firstLineChars="200"/>
        <w:jc w:val="both"/>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b/>
          <w:kern w:val="2"/>
          <w:sz w:val="32"/>
          <w:szCs w:val="32"/>
          <w:highlight w:val="none"/>
          <w:lang w:val="en-US" w:eastAsia="zh-CN" w:bidi="ar-SA"/>
        </w:rPr>
        <w:t>考核指标：</w:t>
      </w:r>
      <w:r>
        <w:rPr>
          <w:rFonts w:hint="default" w:ascii="Times New Roman" w:hAnsi="Times New Roman" w:eastAsia="仿宋_GB2312" w:cs="Times New Roman"/>
          <w:kern w:val="0"/>
          <w:sz w:val="32"/>
          <w:szCs w:val="32"/>
          <w:lang w:val="en-US" w:eastAsia="zh-CN" w:bidi="ar-SA"/>
        </w:rPr>
        <w:t>获得目标发酵工程菌至少2个，完成不少于1种天然产物（医药关键中间体）的合成生物学技术研究；形成中试工艺路线；申请原料药注册登记备案不少于1项；受理发明专利不少于2项，授权发明专利不少于1项</w:t>
      </w:r>
      <w:r>
        <w:rPr>
          <w:rFonts w:hint="default" w:ascii="Times New Roman" w:hAnsi="Times New Roman" w:eastAsia="仿宋_GB2312" w:cs="Times New Roman"/>
          <w:kern w:val="0"/>
          <w:sz w:val="32"/>
          <w:szCs w:val="32"/>
          <w:highlight w:val="none"/>
          <w:lang w:val="en-US" w:eastAsia="zh-CN" w:bidi="ar-SA"/>
        </w:rPr>
        <w:t>。</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高性能生物医用滤膜研发</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bCs/>
          <w:sz w:val="32"/>
          <w:szCs w:val="32"/>
          <w:highlight w:val="none"/>
        </w:rPr>
        <w:t>针对</w:t>
      </w:r>
      <w:r>
        <w:rPr>
          <w:rFonts w:hint="default" w:ascii="Times New Roman" w:hAnsi="Times New Roman" w:eastAsia="仿宋_GB2312" w:cs="Times New Roman"/>
          <w:kern w:val="0"/>
          <w:sz w:val="32"/>
          <w:szCs w:val="32"/>
          <w:lang w:eastAsia="zh-CN"/>
        </w:rPr>
        <w:t>生物医用滤膜使用过程中存在的稳定性、选择性、生物相容性、抗菌性等问题，开展高性能新型</w:t>
      </w:r>
      <w:r>
        <w:rPr>
          <w:rFonts w:hint="default" w:ascii="Times New Roman" w:hAnsi="Times New Roman" w:eastAsia="仿宋_GB2312" w:cs="Times New Roman"/>
          <w:kern w:val="0"/>
          <w:sz w:val="32"/>
          <w:szCs w:val="32"/>
          <w:lang w:val="en-US" w:eastAsia="zh-CN"/>
        </w:rPr>
        <w:t>滤</w:t>
      </w:r>
      <w:r>
        <w:rPr>
          <w:rFonts w:hint="default" w:ascii="Times New Roman" w:hAnsi="Times New Roman" w:eastAsia="仿宋_GB2312" w:cs="Times New Roman"/>
          <w:kern w:val="0"/>
          <w:sz w:val="32"/>
          <w:szCs w:val="32"/>
          <w:lang w:eastAsia="zh-CN"/>
        </w:rPr>
        <w:t>膜材料设计、</w:t>
      </w:r>
      <w:r>
        <w:rPr>
          <w:rFonts w:hint="default" w:ascii="Times New Roman" w:hAnsi="Times New Roman" w:eastAsia="仿宋_GB2312" w:cs="Times New Roman"/>
          <w:kern w:val="0"/>
          <w:sz w:val="32"/>
          <w:szCs w:val="32"/>
          <w:lang w:val="en-US" w:eastAsia="zh-CN"/>
        </w:rPr>
        <w:t>加工、</w:t>
      </w:r>
      <w:r>
        <w:rPr>
          <w:rFonts w:hint="default" w:ascii="Times New Roman" w:hAnsi="Times New Roman" w:eastAsia="仿宋_GB2312" w:cs="Times New Roman"/>
          <w:kern w:val="0"/>
          <w:sz w:val="32"/>
          <w:szCs w:val="32"/>
          <w:lang w:eastAsia="zh-CN"/>
        </w:rPr>
        <w:t>改性等多种技术路径及关键控制技术研究；与国内市场占有率前三的同类型生物医用滤膜相比，稳定性、选择性</w:t>
      </w:r>
      <w:r>
        <w:rPr>
          <w:rFonts w:hint="default" w:ascii="Times New Roman" w:hAnsi="Times New Roman" w:eastAsia="仿宋_GB2312" w:cs="Times New Roman"/>
          <w:kern w:val="0"/>
          <w:sz w:val="32"/>
          <w:szCs w:val="32"/>
          <w:lang w:val="en-US" w:eastAsia="zh-CN"/>
        </w:rPr>
        <w:t>提高25%，</w:t>
      </w:r>
      <w:r>
        <w:rPr>
          <w:rFonts w:hint="default" w:ascii="Times New Roman" w:hAnsi="Times New Roman" w:eastAsia="仿宋_GB2312" w:cs="Times New Roman"/>
          <w:kern w:val="0"/>
          <w:sz w:val="32"/>
          <w:szCs w:val="32"/>
          <w:lang w:eastAsia="zh-CN"/>
        </w:rPr>
        <w:t>生物相容性、抗菌性</w:t>
      </w:r>
      <w:r>
        <w:rPr>
          <w:rFonts w:hint="default" w:ascii="Times New Roman" w:hAnsi="Times New Roman" w:eastAsia="仿宋_GB2312" w:cs="Times New Roman"/>
          <w:kern w:val="0"/>
          <w:sz w:val="32"/>
          <w:szCs w:val="32"/>
          <w:lang w:val="en-US" w:eastAsia="zh-CN"/>
        </w:rPr>
        <w:t>能优异</w:t>
      </w:r>
      <w:r>
        <w:rPr>
          <w:rFonts w:hint="default" w:ascii="Times New Roman" w:hAnsi="Times New Roman" w:eastAsia="仿宋_GB2312" w:cs="Times New Roman"/>
          <w:kern w:val="0"/>
          <w:sz w:val="32"/>
          <w:szCs w:val="32"/>
          <w:lang w:eastAsia="zh-CN"/>
        </w:rPr>
        <w:t>，并阐明</w:t>
      </w:r>
      <w:r>
        <w:rPr>
          <w:rFonts w:hint="default" w:ascii="Times New Roman" w:hAnsi="Times New Roman" w:eastAsia="仿宋_GB2312" w:cs="Times New Roman"/>
          <w:kern w:val="0"/>
          <w:sz w:val="32"/>
          <w:szCs w:val="32"/>
          <w:lang w:val="en-US" w:eastAsia="zh-CN"/>
        </w:rPr>
        <w:t>分离</w:t>
      </w:r>
      <w:r>
        <w:rPr>
          <w:rFonts w:hint="default" w:ascii="Times New Roman" w:hAnsi="Times New Roman" w:eastAsia="仿宋_GB2312" w:cs="Times New Roman"/>
          <w:kern w:val="0"/>
          <w:sz w:val="32"/>
          <w:szCs w:val="32"/>
          <w:lang w:eastAsia="zh-CN"/>
        </w:rPr>
        <w:t>机制；完成临床前相关研究</w:t>
      </w:r>
      <w:r>
        <w:rPr>
          <w:rFonts w:hint="default" w:ascii="Times New Roman" w:hAnsi="Times New Roman" w:eastAsia="仿宋_GB2312" w:cs="Times New Roman"/>
          <w:kern w:val="0"/>
          <w:sz w:val="32"/>
          <w:szCs w:val="32"/>
          <w:highlight w:val="none"/>
        </w:rPr>
        <w:t>。</w:t>
      </w:r>
    </w:p>
    <w:p>
      <w:pPr>
        <w:keepNext w:val="0"/>
        <w:keepLines w:val="0"/>
        <w:pageBreakBefore w:val="0"/>
        <w:widowControl w:val="0"/>
        <w:kinsoku/>
        <w:wordWrap/>
        <w:overflowPunct/>
        <w:topLinePunct/>
        <w:autoSpaceDE w:val="0"/>
        <w:autoSpaceDN/>
        <w:bidi w:val="0"/>
        <w:adjustRightInd w:val="0"/>
        <w:snapToGrid w:val="0"/>
        <w:spacing w:line="580" w:lineRule="exact"/>
        <w:ind w:left="0" w:leftChars="0" w:firstLine="643" w:firstLineChars="200"/>
        <w:jc w:val="both"/>
        <w:rPr>
          <w:rFonts w:hint="default" w:ascii="Times New Roman" w:hAnsi="Times New Roman" w:eastAsia="宋体" w:cs="Times New Roman"/>
          <w:kern w:val="2"/>
          <w:sz w:val="32"/>
          <w:szCs w:val="32"/>
          <w:highlight w:val="none"/>
          <w:lang w:val="en-US" w:eastAsia="zh-CN" w:bidi="ar-SA"/>
        </w:rPr>
      </w:pPr>
      <w:r>
        <w:rPr>
          <w:rFonts w:hint="default" w:ascii="Times New Roman" w:hAnsi="Times New Roman" w:eastAsia="仿宋_GB2312" w:cs="Times New Roman"/>
          <w:b/>
          <w:kern w:val="2"/>
          <w:sz w:val="32"/>
          <w:szCs w:val="32"/>
          <w:highlight w:val="none"/>
          <w:lang w:val="en-US" w:eastAsia="zh-CN" w:bidi="ar-SA"/>
        </w:rPr>
        <w:t>考核指标：</w:t>
      </w:r>
      <w:r>
        <w:rPr>
          <w:rFonts w:hint="default" w:ascii="Times New Roman" w:hAnsi="Times New Roman" w:eastAsia="仿宋_GB2312" w:cs="Times New Roman"/>
          <w:bCs/>
          <w:kern w:val="2"/>
          <w:sz w:val="32"/>
          <w:szCs w:val="32"/>
          <w:highlight w:val="none"/>
          <w:lang w:val="en-US" w:eastAsia="zh-CN" w:bidi="ar-SA"/>
        </w:rPr>
        <w:t>建立</w:t>
      </w:r>
      <w:r>
        <w:rPr>
          <w:rFonts w:hint="default" w:ascii="Times New Roman" w:hAnsi="Times New Roman" w:eastAsia="仿宋_GB2312" w:cs="Times New Roman"/>
          <w:kern w:val="0"/>
          <w:sz w:val="32"/>
          <w:szCs w:val="32"/>
          <w:lang w:val="en-US" w:eastAsia="zh-CN" w:bidi="ar-SA"/>
        </w:rPr>
        <w:t>滤膜生产工艺路线不少于1套，完成产品中试；获得CMA认可的检测机构出具的测试报告，完成临床试验备案；受理发明专利不少于2项，授权发明专利不少于1项</w:t>
      </w:r>
      <w:r>
        <w:rPr>
          <w:rFonts w:hint="default" w:ascii="Times New Roman" w:hAnsi="Times New Roman" w:eastAsia="仿宋_GB2312" w:cs="Times New Roman"/>
          <w:kern w:val="0"/>
          <w:sz w:val="32"/>
          <w:szCs w:val="32"/>
          <w:highlight w:val="none"/>
          <w:lang w:val="en-US" w:eastAsia="zh-CN" w:bidi="ar-SA"/>
        </w:rPr>
        <w:t>。</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color w:val="auto"/>
          <w:spacing w:val="-17"/>
          <w:sz w:val="32"/>
          <w:szCs w:val="32"/>
          <w:highlight w:val="none"/>
        </w:rPr>
      </w:pPr>
      <w:r>
        <w:rPr>
          <w:rFonts w:hint="default" w:ascii="Times New Roman" w:hAnsi="Times New Roman" w:eastAsia="仿宋_GB2312" w:cs="Times New Roman"/>
          <w:b/>
          <w:bCs/>
          <w:color w:val="auto"/>
          <w:sz w:val="32"/>
          <w:szCs w:val="32"/>
          <w:highlight w:val="none"/>
        </w:rPr>
        <w:t>赣产道地</w:t>
      </w:r>
      <w:r>
        <w:rPr>
          <w:rFonts w:hint="default" w:ascii="Times New Roman" w:hAnsi="Times New Roman" w:eastAsia="仿宋_GB2312" w:cs="Times New Roman"/>
          <w:b/>
          <w:bCs/>
          <w:color w:val="auto"/>
          <w:spacing w:val="-17"/>
          <w:sz w:val="32"/>
          <w:szCs w:val="32"/>
          <w:highlight w:val="none"/>
        </w:rPr>
        <w:t>中药材GAP规范化种植关键技术研究与应用示范</w:t>
      </w:r>
    </w:p>
    <w:p>
      <w:pPr>
        <w:keepNext w:val="0"/>
        <w:keepLines w:val="0"/>
        <w:pageBreakBefore w:val="0"/>
        <w:widowControl w:val="0"/>
        <w:kinsoku/>
        <w:wordWrap/>
        <w:overflowPunct/>
        <w:topLinePunct/>
        <w:autoSpaceDE w:val="0"/>
        <w:autoSpaceDN/>
        <w:bidi w:val="0"/>
        <w:adjustRightInd/>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lang w:eastAsia="zh-CN"/>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i w:val="0"/>
          <w:color w:val="000000"/>
          <w:kern w:val="0"/>
          <w:sz w:val="32"/>
          <w:szCs w:val="32"/>
          <w:u w:val="none"/>
          <w:lang w:val="en-US" w:eastAsia="zh-CN" w:bidi="ar"/>
        </w:rPr>
        <w:t>针对当前中药材生产不规范、产品质量不稳定等问题，围绕赣产道地药材GAP基地建设需求，以主要药效为导向，研究提高中药材品质的种植加工等技术。筛选优良种质并开展种苗繁育，优化集成生态种植模式，规范化种植技术规程，建立采收与产地加工规程和质量溯源体系；研究评价药材生产过程关键节点质量风险的控制因子，提供核心的“六统一”“可追溯”规范化科学依据，产研合作开展GAP基地建设示范应用</w:t>
      </w:r>
      <w:r>
        <w:rPr>
          <w:rFonts w:hint="default" w:ascii="Times New Roman" w:hAnsi="Times New Roman" w:eastAsia="仿宋_GB2312" w:cs="Times New Roman"/>
          <w:bCs/>
          <w:sz w:val="32"/>
          <w:szCs w:val="32"/>
          <w:highlight w:val="none"/>
          <w:lang w:eastAsia="zh-CN"/>
        </w:rPr>
        <w:t>。</w:t>
      </w:r>
    </w:p>
    <w:p>
      <w:pPr>
        <w:keepNext w:val="0"/>
        <w:keepLines w:val="0"/>
        <w:pageBreakBefore w:val="0"/>
        <w:widowControl w:val="0"/>
        <w:kinsoku/>
        <w:wordWrap/>
        <w:overflowPunct/>
        <w:topLinePunct/>
        <w:autoSpaceDE w:val="0"/>
        <w:autoSpaceDN/>
        <w:bidi w:val="0"/>
        <w:spacing w:line="580" w:lineRule="exact"/>
        <w:ind w:left="0" w:leftChars="0" w:firstLine="643" w:firstLineChars="200"/>
        <w:jc w:val="both"/>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b/>
          <w:kern w:val="2"/>
          <w:sz w:val="32"/>
          <w:szCs w:val="32"/>
          <w:highlight w:val="none"/>
          <w:lang w:val="en-US" w:eastAsia="zh-CN" w:bidi="ar-SA"/>
        </w:rPr>
        <w:t>考核指标：</w:t>
      </w:r>
      <w:r>
        <w:rPr>
          <w:rFonts w:hint="default" w:ascii="Times New Roman" w:hAnsi="Times New Roman" w:eastAsia="仿宋_GB2312" w:cs="Times New Roman"/>
          <w:i w:val="0"/>
          <w:color w:val="000000"/>
          <w:kern w:val="0"/>
          <w:sz w:val="32"/>
          <w:szCs w:val="32"/>
          <w:u w:val="none"/>
          <w:lang w:val="en-US" w:eastAsia="zh-CN" w:bidi="ar"/>
        </w:rPr>
        <w:t>选取不少于1种赣产道地中药材，每种药材筛选出不少于1个优良种质，提交优良品种筛选鉴定报告，建立规范的繁育圃、每个种质繁育基地10亩以上；研发生态种植模式技术至少1项，制定规范化种植及采收加工技术规程1套，开发适宜的溯源技术系统1套。制（修）订并发布行业或地方标准不少于1项、企业生产技术规程或内控质量标准至少5项；建设中药材GAP基地1个，面积不少于500亩；受理发明专利不少于3</w:t>
      </w:r>
      <w:r>
        <w:rPr>
          <w:rFonts w:hint="default" w:ascii="Times New Roman" w:hAnsi="Times New Roman" w:eastAsia="仿宋_GB2312" w:cs="Times New Roman"/>
          <w:kern w:val="0"/>
          <w:sz w:val="32"/>
          <w:szCs w:val="32"/>
          <w:lang w:val="en-US" w:eastAsia="zh-CN" w:bidi="ar-SA"/>
        </w:rPr>
        <w:t>项</w:t>
      </w:r>
      <w:r>
        <w:rPr>
          <w:rFonts w:hint="default" w:ascii="Times New Roman" w:hAnsi="Times New Roman" w:eastAsia="仿宋_GB2312" w:cs="Times New Roman"/>
          <w:i w:val="0"/>
          <w:color w:val="000000"/>
          <w:kern w:val="0"/>
          <w:sz w:val="32"/>
          <w:szCs w:val="32"/>
          <w:u w:val="none"/>
          <w:lang w:val="en-US" w:eastAsia="zh-CN" w:bidi="ar"/>
        </w:rPr>
        <w:t>，授权发明专利不少于1</w:t>
      </w:r>
      <w:r>
        <w:rPr>
          <w:rFonts w:hint="default" w:ascii="Times New Roman" w:hAnsi="Times New Roman" w:eastAsia="仿宋_GB2312" w:cs="Times New Roman"/>
          <w:kern w:val="0"/>
          <w:sz w:val="32"/>
          <w:szCs w:val="32"/>
          <w:lang w:val="en-US" w:eastAsia="zh-CN" w:bidi="ar-SA"/>
        </w:rPr>
        <w:t>项</w:t>
      </w:r>
      <w:r>
        <w:rPr>
          <w:rFonts w:hint="default" w:ascii="Times New Roman" w:hAnsi="Times New Roman" w:eastAsia="仿宋_GB2312" w:cs="Times New Roman"/>
          <w:i w:val="0"/>
          <w:color w:val="000000"/>
          <w:kern w:val="0"/>
          <w:sz w:val="32"/>
          <w:szCs w:val="32"/>
          <w:u w:val="none"/>
          <w:lang w:val="en-US" w:eastAsia="zh-CN" w:bidi="ar"/>
        </w:rPr>
        <w:t>。</w:t>
      </w:r>
    </w:p>
    <w:p>
      <w:pPr>
        <w:keepNext w:val="0"/>
        <w:keepLines w:val="0"/>
        <w:pageBreakBefore w:val="0"/>
        <w:widowControl w:val="0"/>
        <w:kinsoku/>
        <w:wordWrap/>
        <w:overflowPunct/>
        <w:topLinePunct/>
        <w:autoSpaceDE w:val="0"/>
        <w:autoSpaceDN/>
        <w:bidi w:val="0"/>
        <w:spacing w:line="580" w:lineRule="exact"/>
        <w:ind w:left="0" w:leftChars="0" w:firstLine="643" w:firstLineChars="200"/>
        <w:jc w:val="both"/>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b/>
          <w:bCs/>
          <w:i w:val="0"/>
          <w:color w:val="000000"/>
          <w:kern w:val="0"/>
          <w:sz w:val="32"/>
          <w:szCs w:val="32"/>
          <w:u w:val="none"/>
          <w:lang w:val="en-US" w:eastAsia="zh-CN" w:bidi="ar"/>
        </w:rPr>
        <w:t>说明：由中药种植、生产企业牵头组织申报。</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中成药名优大品种二次开发</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kern w:val="0"/>
          <w:sz w:val="32"/>
          <w:szCs w:val="32"/>
        </w:rPr>
        <w:t>基于中药多组分多靶点的整合调节</w:t>
      </w:r>
      <w:r>
        <w:rPr>
          <w:rFonts w:hint="default" w:ascii="Times New Roman" w:hAnsi="Times New Roman" w:eastAsia="仿宋_GB2312" w:cs="Times New Roman"/>
          <w:kern w:val="0"/>
          <w:sz w:val="32"/>
          <w:szCs w:val="32"/>
          <w:lang w:val="en-US" w:eastAsia="zh-CN"/>
        </w:rPr>
        <w:t>与协同治疗</w:t>
      </w:r>
      <w:r>
        <w:rPr>
          <w:rFonts w:hint="default" w:ascii="Times New Roman" w:hAnsi="Times New Roman" w:eastAsia="仿宋_GB2312" w:cs="Times New Roman"/>
          <w:kern w:val="0"/>
          <w:sz w:val="32"/>
          <w:szCs w:val="32"/>
        </w:rPr>
        <w:t>理论，以</w:t>
      </w:r>
      <w:r>
        <w:rPr>
          <w:rFonts w:hint="default" w:ascii="Times New Roman" w:hAnsi="Times New Roman" w:eastAsia="仿宋_GB2312" w:cs="Times New Roman"/>
          <w:kern w:val="0"/>
          <w:sz w:val="32"/>
          <w:szCs w:val="32"/>
          <w:lang w:eastAsia="zh-CN"/>
        </w:rPr>
        <w:t>江西</w:t>
      </w:r>
      <w:r>
        <w:rPr>
          <w:rFonts w:hint="default" w:ascii="Times New Roman" w:hAnsi="Times New Roman" w:eastAsia="仿宋_GB2312" w:cs="Times New Roman"/>
          <w:kern w:val="0"/>
          <w:sz w:val="32"/>
          <w:szCs w:val="32"/>
        </w:rPr>
        <w:t>省名优大品种为研究对象，针对产品服用量大、</w:t>
      </w:r>
      <w:r>
        <w:rPr>
          <w:rFonts w:hint="default" w:ascii="Times New Roman" w:hAnsi="Times New Roman" w:eastAsia="仿宋_GB2312" w:cs="Times New Roman"/>
          <w:kern w:val="0"/>
          <w:sz w:val="32"/>
          <w:szCs w:val="32"/>
          <w:lang w:val="en-US" w:eastAsia="zh-CN"/>
        </w:rPr>
        <w:t>疗效需要进一步提升、</w:t>
      </w:r>
      <w:r>
        <w:rPr>
          <w:rFonts w:hint="default" w:ascii="Times New Roman" w:hAnsi="Times New Roman" w:eastAsia="仿宋_GB2312" w:cs="Times New Roman"/>
          <w:kern w:val="0"/>
          <w:sz w:val="32"/>
          <w:szCs w:val="32"/>
        </w:rPr>
        <w:t>依从性待改善等问题，运用现代科学技术方法，筛选有效成分群，阐明药效物质基础。在此基础上，进行产品的工艺</w:t>
      </w:r>
      <w:r>
        <w:rPr>
          <w:rFonts w:hint="default" w:ascii="Times New Roman" w:hAnsi="Times New Roman" w:eastAsia="仿宋_GB2312" w:cs="Times New Roman"/>
          <w:kern w:val="0"/>
          <w:sz w:val="32"/>
          <w:szCs w:val="32"/>
          <w:lang w:val="en-US" w:eastAsia="zh-CN"/>
        </w:rPr>
        <w:t>优化</w:t>
      </w:r>
      <w:r>
        <w:rPr>
          <w:rFonts w:hint="default" w:ascii="Times New Roman" w:hAnsi="Times New Roman" w:eastAsia="仿宋_GB2312" w:cs="Times New Roman"/>
          <w:kern w:val="0"/>
          <w:sz w:val="32"/>
          <w:szCs w:val="32"/>
        </w:rPr>
        <w:t>及质量标准提升，按照现行新药注册管理办法开发改良型新药，提升药效、安全性及便利性</w:t>
      </w:r>
      <w:r>
        <w:rPr>
          <w:rFonts w:hint="default" w:ascii="Times New Roman" w:hAnsi="Times New Roman" w:eastAsia="仿宋_GB2312" w:cs="Times New Roman"/>
          <w:kern w:val="0"/>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kern w:val="0"/>
          <w:sz w:val="32"/>
          <w:szCs w:val="32"/>
          <w:lang w:val="en-US" w:eastAsia="zh-CN"/>
        </w:rPr>
        <w:t>明确药物的</w:t>
      </w:r>
      <w:r>
        <w:rPr>
          <w:rFonts w:hint="default" w:ascii="Times New Roman" w:hAnsi="Times New Roman" w:eastAsia="仿宋_GB2312" w:cs="Times New Roman"/>
          <w:kern w:val="0"/>
          <w:sz w:val="32"/>
          <w:szCs w:val="32"/>
        </w:rPr>
        <w:t>有效成分群，</w:t>
      </w:r>
      <w:r>
        <w:rPr>
          <w:rFonts w:hint="default" w:ascii="Times New Roman" w:hAnsi="Times New Roman" w:eastAsia="仿宋_GB2312" w:cs="Times New Roman"/>
          <w:kern w:val="0"/>
          <w:sz w:val="32"/>
          <w:szCs w:val="32"/>
          <w:lang w:val="en-US" w:eastAsia="zh-CN"/>
        </w:rPr>
        <w:t>获得</w:t>
      </w:r>
      <w:r>
        <w:rPr>
          <w:rFonts w:hint="default" w:ascii="Times New Roman" w:hAnsi="Times New Roman" w:eastAsia="仿宋_GB2312" w:cs="Times New Roman"/>
          <w:kern w:val="0"/>
          <w:sz w:val="32"/>
          <w:szCs w:val="32"/>
        </w:rPr>
        <w:t>活性单体</w:t>
      </w:r>
      <w:r>
        <w:rPr>
          <w:rFonts w:hint="default" w:ascii="Times New Roman" w:hAnsi="Times New Roman" w:eastAsia="仿宋_GB2312" w:cs="Times New Roman"/>
          <w:kern w:val="0"/>
          <w:sz w:val="32"/>
          <w:szCs w:val="32"/>
          <w:lang w:val="en-US" w:eastAsia="zh-CN"/>
        </w:rPr>
        <w:t>5-8</w:t>
      </w:r>
      <w:r>
        <w:rPr>
          <w:rFonts w:hint="default" w:ascii="Times New Roman" w:hAnsi="Times New Roman" w:eastAsia="仿宋_GB2312" w:cs="Times New Roman"/>
          <w:kern w:val="0"/>
          <w:sz w:val="32"/>
          <w:szCs w:val="32"/>
        </w:rPr>
        <w:t>个；建立</w:t>
      </w:r>
      <w:r>
        <w:rPr>
          <w:rFonts w:hint="default" w:ascii="Times New Roman" w:hAnsi="Times New Roman" w:eastAsia="仿宋_GB2312" w:cs="Times New Roman"/>
          <w:kern w:val="0"/>
          <w:sz w:val="32"/>
          <w:szCs w:val="32"/>
          <w:lang w:val="en-US" w:eastAsia="zh-CN"/>
        </w:rPr>
        <w:t>工艺优化或质量控制的</w:t>
      </w:r>
      <w:r>
        <w:rPr>
          <w:rFonts w:hint="default" w:ascii="Times New Roman" w:hAnsi="Times New Roman" w:eastAsia="仿宋_GB2312" w:cs="Times New Roman"/>
          <w:kern w:val="0"/>
          <w:sz w:val="32"/>
          <w:szCs w:val="32"/>
        </w:rPr>
        <w:t>企业标准不少于1项；获得药物的临床试验许可受理不少于1</w:t>
      </w:r>
      <w:r>
        <w:rPr>
          <w:rFonts w:hint="default" w:ascii="Times New Roman" w:hAnsi="Times New Roman" w:eastAsia="仿宋_GB2312" w:cs="Times New Roman"/>
          <w:kern w:val="0"/>
          <w:sz w:val="32"/>
          <w:szCs w:val="32"/>
          <w:lang w:val="en-US" w:eastAsia="zh-CN" w:bidi="ar-SA"/>
        </w:rPr>
        <w:t>项</w:t>
      </w:r>
      <w:r>
        <w:rPr>
          <w:rFonts w:hint="default" w:ascii="Times New Roman" w:hAnsi="Times New Roman" w:eastAsia="仿宋_GB2312" w:cs="Times New Roman"/>
          <w:kern w:val="0"/>
          <w:sz w:val="32"/>
          <w:szCs w:val="32"/>
        </w:rPr>
        <w:t>；受理发明专利不少于2</w:t>
      </w:r>
      <w:r>
        <w:rPr>
          <w:rFonts w:hint="default" w:ascii="Times New Roman" w:hAnsi="Times New Roman" w:eastAsia="仿宋_GB2312" w:cs="Times New Roman"/>
          <w:kern w:val="0"/>
          <w:sz w:val="32"/>
          <w:szCs w:val="32"/>
          <w:lang w:val="en-US" w:eastAsia="zh-CN" w:bidi="ar-SA"/>
        </w:rPr>
        <w:t>项</w:t>
      </w:r>
      <w:r>
        <w:rPr>
          <w:rFonts w:hint="default" w:ascii="Times New Roman" w:hAnsi="Times New Roman" w:eastAsia="仿宋_GB2312" w:cs="Times New Roman"/>
          <w:kern w:val="0"/>
          <w:sz w:val="32"/>
          <w:szCs w:val="32"/>
        </w:rPr>
        <w:t>，授权发明专利不少于1</w:t>
      </w:r>
      <w:r>
        <w:rPr>
          <w:rFonts w:hint="default" w:ascii="Times New Roman" w:hAnsi="Times New Roman" w:eastAsia="仿宋_GB2312" w:cs="Times New Roman"/>
          <w:kern w:val="0"/>
          <w:sz w:val="32"/>
          <w:szCs w:val="32"/>
          <w:lang w:val="en-US" w:eastAsia="zh-CN" w:bidi="ar-SA"/>
        </w:rPr>
        <w:t>项</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
          <w:bCs/>
          <w:kern w:val="0"/>
          <w:sz w:val="32"/>
          <w:szCs w:val="32"/>
          <w:lang w:val="en"/>
        </w:rPr>
      </w:pPr>
      <w:r>
        <w:rPr>
          <w:rFonts w:hint="default" w:ascii="Times New Roman" w:hAnsi="Times New Roman" w:eastAsia="仿宋_GB2312" w:cs="Times New Roman"/>
          <w:b/>
          <w:bCs/>
          <w:kern w:val="0"/>
          <w:sz w:val="32"/>
          <w:szCs w:val="32"/>
          <w:lang w:eastAsia="zh-CN"/>
        </w:rPr>
        <w:t>说明</w:t>
      </w:r>
      <w:r>
        <w:rPr>
          <w:rFonts w:hint="default" w:ascii="Times New Roman" w:hAnsi="Times New Roman" w:eastAsia="仿宋_GB2312" w:cs="Times New Roman"/>
          <w:b/>
          <w:bCs/>
          <w:kern w:val="0"/>
          <w:sz w:val="32"/>
          <w:szCs w:val="32"/>
        </w:rPr>
        <w:t>：以企业牵头组织申报。</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sz w:val="32"/>
          <w:szCs w:val="32"/>
          <w:highlight w:val="none"/>
        </w:rPr>
        <w:t>人用经验临床验方的中药创新药临床前研究</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kern w:val="0"/>
          <w:sz w:val="32"/>
          <w:szCs w:val="32"/>
        </w:rPr>
        <w:t>以</w:t>
      </w:r>
      <w:r>
        <w:rPr>
          <w:rFonts w:hint="default" w:ascii="Times New Roman" w:hAnsi="Times New Roman" w:eastAsia="仿宋_GB2312" w:cs="Times New Roman"/>
          <w:kern w:val="0"/>
          <w:sz w:val="32"/>
          <w:szCs w:val="32"/>
          <w:lang w:eastAsia="zh-CN"/>
        </w:rPr>
        <w:t>临床价值为导向，遴选江西省人用经验证据充分的</w:t>
      </w:r>
      <w:r>
        <w:rPr>
          <w:rFonts w:hint="default" w:ascii="Times New Roman" w:hAnsi="Times New Roman" w:eastAsia="仿宋_GB2312" w:cs="Times New Roman"/>
          <w:kern w:val="0"/>
          <w:sz w:val="32"/>
          <w:szCs w:val="32"/>
          <w:lang w:val="en-US" w:eastAsia="zh-CN"/>
        </w:rPr>
        <w:t>医疗机构中药</w:t>
      </w:r>
      <w:r>
        <w:rPr>
          <w:rFonts w:hint="default" w:ascii="Times New Roman" w:hAnsi="Times New Roman" w:eastAsia="仿宋_GB2312" w:cs="Times New Roman"/>
          <w:kern w:val="0"/>
          <w:sz w:val="32"/>
          <w:szCs w:val="32"/>
          <w:lang w:eastAsia="zh-CN"/>
        </w:rPr>
        <w:t>制剂、临床</w:t>
      </w:r>
      <w:r>
        <w:rPr>
          <w:rFonts w:hint="default" w:ascii="Times New Roman" w:hAnsi="Times New Roman" w:eastAsia="仿宋_GB2312" w:cs="Times New Roman"/>
          <w:kern w:val="0"/>
          <w:sz w:val="32"/>
          <w:szCs w:val="32"/>
          <w:lang w:val="en-US" w:eastAsia="zh-CN"/>
        </w:rPr>
        <w:t>经</w:t>
      </w:r>
      <w:r>
        <w:rPr>
          <w:rFonts w:hint="default" w:ascii="Times New Roman" w:hAnsi="Times New Roman" w:eastAsia="仿宋_GB2312" w:cs="Times New Roman"/>
          <w:kern w:val="0"/>
          <w:sz w:val="32"/>
          <w:szCs w:val="32"/>
          <w:lang w:eastAsia="zh-CN"/>
        </w:rPr>
        <w:t>验方</w:t>
      </w:r>
      <w:r>
        <w:rPr>
          <w:rFonts w:hint="default" w:ascii="Times New Roman" w:hAnsi="Times New Roman" w:eastAsia="仿宋_GB2312" w:cs="Times New Roman"/>
          <w:kern w:val="0"/>
          <w:sz w:val="32"/>
          <w:szCs w:val="32"/>
          <w:lang w:val="en-US" w:eastAsia="zh-CN"/>
        </w:rPr>
        <w:t>等</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按照现行</w:t>
      </w:r>
      <w:r>
        <w:rPr>
          <w:rFonts w:hint="default" w:ascii="Times New Roman" w:hAnsi="Times New Roman" w:eastAsia="仿宋_GB2312" w:cs="Times New Roman"/>
          <w:kern w:val="0"/>
          <w:sz w:val="32"/>
          <w:szCs w:val="32"/>
          <w:lang w:val="en-US" w:eastAsia="zh-CN"/>
        </w:rPr>
        <w:t>药品</w:t>
      </w:r>
      <w:r>
        <w:rPr>
          <w:rFonts w:hint="default" w:ascii="Times New Roman" w:hAnsi="Times New Roman" w:eastAsia="仿宋_GB2312" w:cs="Times New Roman"/>
          <w:kern w:val="0"/>
          <w:sz w:val="32"/>
          <w:szCs w:val="32"/>
          <w:lang w:eastAsia="zh-CN"/>
        </w:rPr>
        <w:t>注册管理办法的</w:t>
      </w:r>
      <w:r>
        <w:rPr>
          <w:rFonts w:hint="default" w:ascii="Times New Roman" w:hAnsi="Times New Roman" w:eastAsia="仿宋_GB2312" w:cs="Times New Roman"/>
          <w:kern w:val="0"/>
          <w:sz w:val="32"/>
          <w:szCs w:val="32"/>
          <w:lang w:val="en-US" w:eastAsia="zh-CN"/>
        </w:rPr>
        <w:t>有关规定及</w:t>
      </w:r>
      <w:r>
        <w:rPr>
          <w:rFonts w:hint="default" w:ascii="Times New Roman" w:hAnsi="Times New Roman" w:eastAsia="仿宋_GB2312" w:cs="Times New Roman"/>
          <w:kern w:val="0"/>
          <w:sz w:val="32"/>
          <w:szCs w:val="32"/>
          <w:lang w:eastAsia="zh-CN"/>
        </w:rPr>
        <w:t>技术要求，完成</w:t>
      </w:r>
      <w:r>
        <w:rPr>
          <w:rFonts w:hint="default" w:ascii="Times New Roman" w:hAnsi="Times New Roman" w:eastAsia="仿宋_GB2312" w:cs="Times New Roman"/>
          <w:kern w:val="0"/>
          <w:sz w:val="32"/>
          <w:szCs w:val="32"/>
          <w:lang w:val="en-US" w:eastAsia="zh-CN"/>
        </w:rPr>
        <w:t>药物</w:t>
      </w:r>
      <w:r>
        <w:rPr>
          <w:rFonts w:hint="default" w:ascii="Times New Roman" w:hAnsi="Times New Roman" w:eastAsia="仿宋_GB2312" w:cs="Times New Roman"/>
          <w:kern w:val="0"/>
          <w:sz w:val="32"/>
          <w:szCs w:val="32"/>
          <w:lang w:eastAsia="zh-CN"/>
        </w:rPr>
        <w:t>临床前研究</w:t>
      </w:r>
      <w:r>
        <w:rPr>
          <w:rFonts w:hint="default" w:ascii="Times New Roman" w:hAnsi="Times New Roman" w:eastAsia="仿宋_GB2312" w:cs="Times New Roman"/>
          <w:color w:val="000000"/>
          <w:kern w:val="0"/>
          <w:sz w:val="32"/>
          <w:szCs w:val="32"/>
          <w:lang w:val="en-US" w:eastAsia="zh-CN"/>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kern w:val="0"/>
          <w:sz w:val="32"/>
          <w:szCs w:val="32"/>
        </w:rPr>
        <w:t>获得药物的临床试验许可受理不少于1</w:t>
      </w:r>
      <w:r>
        <w:rPr>
          <w:rFonts w:hint="default" w:ascii="Times New Roman" w:hAnsi="Times New Roman" w:eastAsia="仿宋_GB2312" w:cs="Times New Roman"/>
          <w:kern w:val="0"/>
          <w:sz w:val="32"/>
          <w:szCs w:val="32"/>
          <w:lang w:val="en-US" w:eastAsia="zh-CN" w:bidi="ar-SA"/>
        </w:rPr>
        <w:t>项</w:t>
      </w:r>
      <w:r>
        <w:rPr>
          <w:rFonts w:hint="default" w:ascii="Times New Roman" w:hAnsi="Times New Roman" w:eastAsia="仿宋_GB2312" w:cs="Times New Roman"/>
          <w:kern w:val="0"/>
          <w:sz w:val="32"/>
          <w:szCs w:val="32"/>
        </w:rPr>
        <w:t>；受理发明专利不少于2</w:t>
      </w:r>
      <w:r>
        <w:rPr>
          <w:rFonts w:hint="default" w:ascii="Times New Roman" w:hAnsi="Times New Roman" w:eastAsia="仿宋_GB2312" w:cs="Times New Roman"/>
          <w:kern w:val="0"/>
          <w:sz w:val="32"/>
          <w:szCs w:val="32"/>
          <w:lang w:val="en-US" w:eastAsia="zh-CN" w:bidi="ar-SA"/>
        </w:rPr>
        <w:t>项</w:t>
      </w:r>
      <w:r>
        <w:rPr>
          <w:rFonts w:hint="default" w:ascii="Times New Roman" w:hAnsi="Times New Roman" w:eastAsia="仿宋_GB2312" w:cs="Times New Roman"/>
          <w:kern w:val="0"/>
          <w:sz w:val="32"/>
          <w:szCs w:val="32"/>
        </w:rPr>
        <w:t>，授权发明专利不少于1</w:t>
      </w:r>
      <w:r>
        <w:rPr>
          <w:rFonts w:hint="default" w:ascii="Times New Roman" w:hAnsi="Times New Roman" w:eastAsia="仿宋_GB2312" w:cs="Times New Roman"/>
          <w:kern w:val="0"/>
          <w:sz w:val="32"/>
          <w:szCs w:val="32"/>
          <w:lang w:val="en-US" w:eastAsia="zh-CN" w:bidi="ar-SA"/>
        </w:rPr>
        <w:t>项</w:t>
      </w:r>
      <w:r>
        <w:rPr>
          <w:rFonts w:hint="default" w:ascii="Times New Roman" w:hAnsi="Times New Roman" w:eastAsia="仿宋_GB2312" w:cs="Times New Roman"/>
          <w:kern w:val="0"/>
          <w:sz w:val="32"/>
          <w:szCs w:val="32"/>
          <w:highlight w:val="none"/>
        </w:rPr>
        <w:t>。</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糖尿病等慢性病治疗药物临床前研究</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kern w:val="0"/>
          <w:sz w:val="32"/>
          <w:szCs w:val="32"/>
        </w:rPr>
        <w:t>针对糖尿病</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高血压</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骨质疏松等慢性病的临床需求，在候选药物预试验筛选的基础上，按照现行药</w:t>
      </w:r>
      <w:r>
        <w:rPr>
          <w:rFonts w:hint="default" w:ascii="Times New Roman" w:hAnsi="Times New Roman" w:eastAsia="仿宋_GB2312" w:cs="Times New Roman"/>
          <w:kern w:val="0"/>
          <w:sz w:val="32"/>
          <w:szCs w:val="32"/>
          <w:lang w:val="en-US" w:eastAsia="zh-CN"/>
        </w:rPr>
        <w:t>品</w:t>
      </w:r>
      <w:r>
        <w:rPr>
          <w:rFonts w:hint="default" w:ascii="Times New Roman" w:hAnsi="Times New Roman" w:eastAsia="仿宋_GB2312" w:cs="Times New Roman"/>
          <w:kern w:val="0"/>
          <w:sz w:val="32"/>
          <w:szCs w:val="32"/>
        </w:rPr>
        <w:t>注册管理办法，开展慢性疾病治疗药物的原料药及制剂</w:t>
      </w:r>
      <w:r>
        <w:rPr>
          <w:rFonts w:hint="default" w:ascii="Times New Roman" w:hAnsi="Times New Roman" w:eastAsia="仿宋_GB2312" w:cs="Times New Roman"/>
          <w:kern w:val="0"/>
          <w:sz w:val="32"/>
          <w:szCs w:val="32"/>
          <w:lang w:val="en-US" w:eastAsia="zh-CN"/>
        </w:rPr>
        <w:t>药学研究</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药物安全性评价等临床前研究</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kern w:val="0"/>
          <w:sz w:val="32"/>
          <w:szCs w:val="32"/>
        </w:rPr>
        <w:t>获得慢性病候选药物不少于1个；完成不少于1种药物的临床前研究；获得药物的临床试验许可受理不少于1</w:t>
      </w:r>
      <w:r>
        <w:rPr>
          <w:rFonts w:hint="default" w:ascii="Times New Roman" w:hAnsi="Times New Roman" w:eastAsia="仿宋_GB2312" w:cs="Times New Roman"/>
          <w:kern w:val="0"/>
          <w:sz w:val="32"/>
          <w:szCs w:val="32"/>
          <w:lang w:val="en-US" w:eastAsia="zh-CN" w:bidi="ar-SA"/>
        </w:rPr>
        <w:t>项</w:t>
      </w:r>
      <w:r>
        <w:rPr>
          <w:rFonts w:hint="default" w:ascii="Times New Roman" w:hAnsi="Times New Roman" w:eastAsia="仿宋_GB2312" w:cs="Times New Roman"/>
          <w:kern w:val="0"/>
          <w:sz w:val="32"/>
          <w:szCs w:val="32"/>
        </w:rPr>
        <w:t>；受理发明专利不少于2</w:t>
      </w:r>
      <w:r>
        <w:rPr>
          <w:rFonts w:hint="default" w:ascii="Times New Roman" w:hAnsi="Times New Roman" w:eastAsia="仿宋_GB2312" w:cs="Times New Roman"/>
          <w:kern w:val="0"/>
          <w:sz w:val="32"/>
          <w:szCs w:val="32"/>
          <w:lang w:val="en-US" w:eastAsia="zh-CN" w:bidi="ar-SA"/>
        </w:rPr>
        <w:t>项</w:t>
      </w:r>
      <w:r>
        <w:rPr>
          <w:rFonts w:hint="default" w:ascii="Times New Roman" w:hAnsi="Times New Roman" w:eastAsia="仿宋_GB2312" w:cs="Times New Roman"/>
          <w:kern w:val="0"/>
          <w:sz w:val="32"/>
          <w:szCs w:val="32"/>
        </w:rPr>
        <w:t>，授权发明专利不少于1</w:t>
      </w:r>
      <w:r>
        <w:rPr>
          <w:rFonts w:hint="default" w:ascii="Times New Roman" w:hAnsi="Times New Roman" w:eastAsia="仿宋_GB2312" w:cs="Times New Roman"/>
          <w:kern w:val="0"/>
          <w:sz w:val="32"/>
          <w:szCs w:val="32"/>
          <w:lang w:val="en-US" w:eastAsia="zh-CN" w:bidi="ar-SA"/>
        </w:rPr>
        <w:t>项</w:t>
      </w:r>
      <w:r>
        <w:rPr>
          <w:rFonts w:hint="default" w:ascii="Times New Roman" w:hAnsi="Times New Roman" w:eastAsia="仿宋_GB2312" w:cs="Times New Roman"/>
          <w:bCs/>
          <w:sz w:val="32"/>
          <w:szCs w:val="32"/>
          <w:highlight w:val="none"/>
        </w:rPr>
        <w:t>。</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介入式医疗器械表面改性及精密成型关键技术研发</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kern w:val="0"/>
          <w:sz w:val="32"/>
          <w:szCs w:val="32"/>
        </w:rPr>
        <w:t>针对介入式医疗器械引起的血栓、炎症等并发症，研究介入式医疗器械抗血栓、抗炎症、润滑等表面处理关键技术，优化血流变参数，提升生物相容性。针对介入式医疗器械成型率低等问题，系统研究医用材料加工设备、模具工装、工艺参数等，开发介入式医疗器械复合成型、多腔成型、精密加工成型等关键技术，提高成品率</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宋体" w:cs="Times New Roman"/>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kern w:val="0"/>
          <w:sz w:val="32"/>
          <w:szCs w:val="32"/>
          <w:lang w:val="en-US" w:eastAsia="zh-CN"/>
        </w:rPr>
        <w:t>建立</w:t>
      </w:r>
      <w:r>
        <w:rPr>
          <w:rFonts w:hint="default" w:ascii="Times New Roman" w:hAnsi="Times New Roman" w:eastAsia="仿宋_GB2312" w:cs="Times New Roman"/>
          <w:kern w:val="0"/>
          <w:sz w:val="32"/>
          <w:szCs w:val="32"/>
        </w:rPr>
        <w:t>稳定</w:t>
      </w:r>
      <w:r>
        <w:rPr>
          <w:rFonts w:hint="default" w:ascii="Times New Roman" w:hAnsi="Times New Roman" w:eastAsia="仿宋_GB2312" w:cs="Times New Roman"/>
          <w:kern w:val="0"/>
          <w:sz w:val="32"/>
          <w:szCs w:val="32"/>
          <w:lang w:val="en-US" w:eastAsia="zh-CN"/>
        </w:rPr>
        <w:t>的</w:t>
      </w:r>
      <w:r>
        <w:rPr>
          <w:rFonts w:hint="default" w:ascii="Times New Roman" w:hAnsi="Times New Roman" w:eastAsia="仿宋_GB2312" w:cs="Times New Roman"/>
          <w:kern w:val="0"/>
          <w:sz w:val="32"/>
          <w:szCs w:val="32"/>
        </w:rPr>
        <w:t>表面处理</w:t>
      </w:r>
      <w:r>
        <w:rPr>
          <w:rFonts w:hint="default" w:ascii="Times New Roman" w:hAnsi="Times New Roman" w:eastAsia="仿宋_GB2312" w:cs="Times New Roman"/>
          <w:kern w:val="0"/>
          <w:sz w:val="32"/>
          <w:szCs w:val="32"/>
          <w:lang w:val="en-US" w:eastAsia="zh-CN"/>
        </w:rPr>
        <w:t>和</w:t>
      </w:r>
      <w:r>
        <w:rPr>
          <w:rFonts w:hint="default" w:ascii="Times New Roman" w:hAnsi="Times New Roman" w:eastAsia="仿宋_GB2312" w:cs="Times New Roman"/>
          <w:kern w:val="0"/>
          <w:sz w:val="32"/>
          <w:szCs w:val="32"/>
        </w:rPr>
        <w:t>医疗器械产品制造</w:t>
      </w:r>
      <w:r>
        <w:rPr>
          <w:rFonts w:hint="default" w:ascii="Times New Roman" w:hAnsi="Times New Roman" w:eastAsia="仿宋_GB2312" w:cs="Times New Roman"/>
          <w:kern w:val="0"/>
          <w:sz w:val="32"/>
          <w:szCs w:val="32"/>
          <w:lang w:val="en-US" w:eastAsia="zh-CN"/>
        </w:rPr>
        <w:t>工艺</w:t>
      </w:r>
      <w:r>
        <w:rPr>
          <w:rFonts w:hint="default" w:ascii="Times New Roman" w:hAnsi="Times New Roman" w:eastAsia="仿宋_GB2312" w:cs="Times New Roman"/>
          <w:kern w:val="0"/>
          <w:sz w:val="32"/>
          <w:szCs w:val="32"/>
        </w:rPr>
        <w:t>不少于1套，获得CMA认</w:t>
      </w:r>
      <w:r>
        <w:rPr>
          <w:rFonts w:hint="default" w:ascii="Times New Roman" w:hAnsi="Times New Roman" w:eastAsia="仿宋_GB2312" w:cs="Times New Roman"/>
          <w:kern w:val="0"/>
          <w:sz w:val="32"/>
          <w:szCs w:val="32"/>
          <w:lang w:val="en-US" w:eastAsia="zh-CN"/>
        </w:rPr>
        <w:t>证</w:t>
      </w:r>
      <w:r>
        <w:rPr>
          <w:rFonts w:hint="default" w:ascii="Times New Roman" w:hAnsi="Times New Roman" w:eastAsia="仿宋_GB2312" w:cs="Times New Roman"/>
          <w:kern w:val="0"/>
          <w:sz w:val="32"/>
          <w:szCs w:val="32"/>
        </w:rPr>
        <w:t>的</w:t>
      </w:r>
      <w:r>
        <w:rPr>
          <w:rFonts w:hint="default" w:ascii="Times New Roman" w:hAnsi="Times New Roman" w:eastAsia="仿宋_GB2312" w:cs="Times New Roman"/>
          <w:kern w:val="0"/>
          <w:sz w:val="32"/>
          <w:szCs w:val="32"/>
          <w:lang w:val="en-US" w:eastAsia="zh-CN"/>
        </w:rPr>
        <w:t>检验检测</w:t>
      </w:r>
      <w:r>
        <w:rPr>
          <w:rFonts w:hint="default" w:ascii="Times New Roman" w:hAnsi="Times New Roman" w:eastAsia="仿宋_GB2312" w:cs="Times New Roman"/>
          <w:kern w:val="0"/>
          <w:sz w:val="32"/>
          <w:szCs w:val="32"/>
        </w:rPr>
        <w:t>机构出具的</w:t>
      </w:r>
      <w:r>
        <w:rPr>
          <w:rFonts w:hint="default" w:ascii="Times New Roman" w:hAnsi="Times New Roman" w:eastAsia="仿宋_GB2312" w:cs="Times New Roman"/>
          <w:kern w:val="0"/>
          <w:sz w:val="32"/>
          <w:szCs w:val="32"/>
          <w:lang w:val="en-US" w:eastAsia="zh-CN"/>
        </w:rPr>
        <w:t>检验检测</w:t>
      </w:r>
      <w:r>
        <w:rPr>
          <w:rFonts w:hint="default" w:ascii="Times New Roman" w:hAnsi="Times New Roman" w:eastAsia="仿宋_GB2312" w:cs="Times New Roman"/>
          <w:kern w:val="0"/>
          <w:sz w:val="32"/>
          <w:szCs w:val="32"/>
        </w:rPr>
        <w:t>报告；受理发明专利不少于2</w:t>
      </w:r>
      <w:r>
        <w:rPr>
          <w:rFonts w:hint="default" w:ascii="Times New Roman" w:hAnsi="Times New Roman" w:eastAsia="仿宋_GB2312" w:cs="Times New Roman"/>
          <w:kern w:val="0"/>
          <w:sz w:val="32"/>
          <w:szCs w:val="32"/>
          <w:lang w:val="en-US" w:eastAsia="zh-CN" w:bidi="ar-SA"/>
        </w:rPr>
        <w:t>项</w:t>
      </w:r>
      <w:r>
        <w:rPr>
          <w:rFonts w:hint="default" w:ascii="Times New Roman" w:hAnsi="Times New Roman" w:eastAsia="仿宋_GB2312" w:cs="Times New Roman"/>
          <w:kern w:val="0"/>
          <w:sz w:val="32"/>
          <w:szCs w:val="32"/>
        </w:rPr>
        <w:t>，授权发明专利不少于1</w:t>
      </w:r>
      <w:r>
        <w:rPr>
          <w:rFonts w:hint="default" w:ascii="Times New Roman" w:hAnsi="Times New Roman" w:eastAsia="仿宋_GB2312" w:cs="Times New Roman"/>
          <w:kern w:val="0"/>
          <w:sz w:val="32"/>
          <w:szCs w:val="32"/>
          <w:lang w:val="en-US" w:eastAsia="zh-CN" w:bidi="ar-SA"/>
        </w:rPr>
        <w:t>项</w:t>
      </w:r>
      <w:r>
        <w:rPr>
          <w:rFonts w:hint="default" w:ascii="Times New Roman" w:hAnsi="Times New Roman" w:eastAsia="仿宋_GB2312" w:cs="Times New Roman"/>
          <w:kern w:val="0"/>
          <w:sz w:val="32"/>
          <w:szCs w:val="32"/>
          <w:highlight w:val="none"/>
        </w:rPr>
        <w:t>。</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基于新靶点的恶性肿瘤药物开发</w:t>
      </w:r>
      <w:r>
        <w:rPr>
          <w:rFonts w:hint="default" w:ascii="Times New Roman" w:hAnsi="Times New Roman" w:eastAsia="仿宋_GB2312" w:cs="Times New Roman"/>
          <w:b/>
          <w:bCs/>
          <w:sz w:val="32"/>
          <w:szCs w:val="32"/>
          <w:highlight w:val="none"/>
          <w:lang w:eastAsia="zh-CN"/>
        </w:rPr>
        <w:t>（青年科学家项目）</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kern w:val="0"/>
          <w:sz w:val="32"/>
          <w:szCs w:val="32"/>
        </w:rPr>
        <w:t>围绕恶性肿瘤靶向药物开发，筛选出针对恶性肿瘤（肺癌、肝癌、胰腺癌、白血病等）的特异性靶点，并进行特异性干预，提高恶性肿瘤治疗效果、减少不良反应，完成药物研发策略的优化和成药性评价</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kern w:val="0"/>
          <w:sz w:val="32"/>
          <w:szCs w:val="32"/>
        </w:rPr>
        <w:t>获得新靶点不少于1个；获得候选化合物</w:t>
      </w:r>
      <w:r>
        <w:rPr>
          <w:rFonts w:hint="default" w:ascii="Times New Roman" w:hAnsi="Times New Roman" w:eastAsia="仿宋_GB2312" w:cs="Times New Roman"/>
          <w:kern w:val="0"/>
          <w:sz w:val="32"/>
          <w:szCs w:val="32"/>
          <w:lang w:val="en-US" w:eastAsia="zh-CN"/>
        </w:rPr>
        <w:t>5-6</w:t>
      </w:r>
      <w:r>
        <w:rPr>
          <w:rFonts w:hint="default" w:ascii="Times New Roman" w:hAnsi="Times New Roman" w:eastAsia="仿宋_GB2312" w:cs="Times New Roman"/>
          <w:kern w:val="0"/>
          <w:sz w:val="32"/>
          <w:szCs w:val="32"/>
        </w:rPr>
        <w:t>个；完成</w:t>
      </w:r>
      <w:r>
        <w:rPr>
          <w:rFonts w:hint="default" w:ascii="Times New Roman" w:hAnsi="Times New Roman" w:eastAsia="仿宋_GB2312" w:cs="Times New Roman"/>
          <w:kern w:val="0"/>
          <w:sz w:val="32"/>
          <w:szCs w:val="32"/>
          <w:lang w:val="en-US" w:eastAsia="zh-CN"/>
        </w:rPr>
        <w:t>基于动物实验的</w:t>
      </w:r>
      <w:r>
        <w:rPr>
          <w:rFonts w:hint="default" w:ascii="Times New Roman" w:hAnsi="Times New Roman" w:eastAsia="仿宋_GB2312" w:cs="Times New Roman"/>
          <w:kern w:val="0"/>
          <w:sz w:val="32"/>
          <w:szCs w:val="32"/>
        </w:rPr>
        <w:t>成药性评价；受理发明专利不少于1件</w:t>
      </w:r>
      <w:r>
        <w:rPr>
          <w:rFonts w:hint="default" w:ascii="Times New Roman" w:hAnsi="Times New Roman" w:eastAsia="仿宋_GB2312" w:cs="Times New Roman"/>
          <w:bCs/>
          <w:sz w:val="32"/>
          <w:szCs w:val="32"/>
          <w:highlight w:val="none"/>
        </w:rPr>
        <w:t>。</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sz w:val="32"/>
          <w:szCs w:val="32"/>
          <w:highlight w:val="none"/>
        </w:rPr>
        <w:t>新型再生创面修复材料研发</w:t>
      </w:r>
      <w:r>
        <w:rPr>
          <w:rFonts w:hint="default" w:ascii="Times New Roman" w:hAnsi="Times New Roman" w:eastAsia="仿宋_GB2312" w:cs="Times New Roman"/>
          <w:b/>
          <w:bCs/>
          <w:sz w:val="32"/>
          <w:szCs w:val="32"/>
          <w:highlight w:val="none"/>
          <w:lang w:eastAsia="zh-CN"/>
        </w:rPr>
        <w:t>（青年科学家项目）</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kern w:val="0"/>
          <w:sz w:val="32"/>
          <w:szCs w:val="32"/>
          <w:lang w:eastAsia="zh-CN"/>
        </w:rPr>
        <w:t>针对</w:t>
      </w:r>
      <w:r>
        <w:rPr>
          <w:rFonts w:hint="default" w:ascii="Times New Roman" w:hAnsi="Times New Roman" w:eastAsia="仿宋_GB2312" w:cs="Times New Roman"/>
          <w:kern w:val="0"/>
          <w:sz w:val="32"/>
          <w:szCs w:val="32"/>
          <w:lang w:val="en-US" w:eastAsia="zh-CN"/>
        </w:rPr>
        <w:t>难愈性</w:t>
      </w:r>
      <w:r>
        <w:rPr>
          <w:rFonts w:hint="default" w:ascii="Times New Roman" w:hAnsi="Times New Roman" w:eastAsia="仿宋_GB2312" w:cs="Times New Roman"/>
          <w:kern w:val="0"/>
          <w:sz w:val="32"/>
          <w:szCs w:val="32"/>
          <w:lang w:eastAsia="zh-CN"/>
        </w:rPr>
        <w:t>创面修复</w:t>
      </w:r>
      <w:r>
        <w:rPr>
          <w:rFonts w:hint="default" w:ascii="Times New Roman" w:hAnsi="Times New Roman" w:eastAsia="仿宋_GB2312" w:cs="Times New Roman"/>
          <w:kern w:val="0"/>
          <w:sz w:val="32"/>
          <w:szCs w:val="32"/>
          <w:lang w:val="en-US" w:eastAsia="zh-CN"/>
        </w:rPr>
        <w:t>时间长、愈合能力弱的</w:t>
      </w:r>
      <w:r>
        <w:rPr>
          <w:rFonts w:hint="default" w:ascii="Times New Roman" w:hAnsi="Times New Roman" w:eastAsia="仿宋_GB2312" w:cs="Times New Roman"/>
          <w:kern w:val="0"/>
          <w:sz w:val="32"/>
          <w:szCs w:val="32"/>
          <w:lang w:eastAsia="zh-CN"/>
        </w:rPr>
        <w:t>问题，研究新型敷料的</w:t>
      </w:r>
      <w:r>
        <w:rPr>
          <w:rFonts w:hint="default" w:ascii="Times New Roman" w:hAnsi="Times New Roman" w:eastAsia="仿宋_GB2312" w:cs="Times New Roman"/>
          <w:kern w:val="0"/>
          <w:sz w:val="32"/>
          <w:szCs w:val="32"/>
          <w:lang w:val="en-US" w:eastAsia="zh-CN"/>
        </w:rPr>
        <w:t>修复原理和</w:t>
      </w:r>
      <w:r>
        <w:rPr>
          <w:rFonts w:hint="default" w:ascii="Times New Roman" w:hAnsi="Times New Roman" w:eastAsia="仿宋_GB2312" w:cs="Times New Roman"/>
          <w:kern w:val="0"/>
          <w:sz w:val="32"/>
          <w:szCs w:val="32"/>
          <w:lang w:eastAsia="zh-CN"/>
        </w:rPr>
        <w:t>作用调控机制，突破组织微环境响应的自适应性调控关键技术，研发具备组织适配性、生物相容性等新型敷料；与国内市场占有率前三的同类型敷料相比，创面愈合时间缩短25%以上，实现创面愈合能力提升，高效调控创面炎症微环境、促进创面修复再生</w:t>
      </w:r>
      <w:r>
        <w:rPr>
          <w:rFonts w:hint="default" w:ascii="Times New Roman" w:hAnsi="Times New Roman" w:eastAsia="仿宋_GB2312" w:cs="Times New Roman"/>
          <w:color w:val="000000"/>
          <w:kern w:val="0"/>
          <w:sz w:val="32"/>
          <w:szCs w:val="32"/>
          <w:lang w:val="en-US" w:eastAsia="zh-CN" w:bidi="ar-SA"/>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宋体" w:cs="Times New Roman"/>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kern w:val="0"/>
          <w:sz w:val="32"/>
          <w:szCs w:val="32"/>
        </w:rPr>
        <w:t>建立工艺路线不少于1套，完成产品中试；获得CMA认可的检测机构出具的测试报告，完成临床试验备案；受理发明专利不少于2</w:t>
      </w:r>
      <w:r>
        <w:rPr>
          <w:rFonts w:hint="default" w:ascii="Times New Roman" w:hAnsi="Times New Roman" w:eastAsia="仿宋_GB2312" w:cs="Times New Roman"/>
          <w:kern w:val="0"/>
          <w:sz w:val="32"/>
          <w:szCs w:val="32"/>
          <w:lang w:val="en-US" w:eastAsia="zh-CN" w:bidi="ar-SA"/>
        </w:rPr>
        <w:t>项</w:t>
      </w:r>
      <w:r>
        <w:rPr>
          <w:rFonts w:hint="default" w:ascii="Times New Roman" w:hAnsi="Times New Roman" w:eastAsia="仿宋_GB2312" w:cs="Times New Roman"/>
          <w:kern w:val="0"/>
          <w:sz w:val="32"/>
          <w:szCs w:val="32"/>
        </w:rPr>
        <w:t>，授权发明专利不少于1</w:t>
      </w:r>
      <w:r>
        <w:rPr>
          <w:rFonts w:hint="default" w:ascii="Times New Roman" w:hAnsi="Times New Roman" w:eastAsia="仿宋_GB2312" w:cs="Times New Roman"/>
          <w:kern w:val="0"/>
          <w:sz w:val="32"/>
          <w:szCs w:val="32"/>
          <w:lang w:val="en-US" w:eastAsia="zh-CN" w:bidi="ar-SA"/>
        </w:rPr>
        <w:t>项</w:t>
      </w:r>
      <w:r>
        <w:rPr>
          <w:rFonts w:hint="default" w:ascii="Times New Roman" w:hAnsi="Times New Roman" w:eastAsia="仿宋_GB2312" w:cs="Times New Roman"/>
          <w:kern w:val="0"/>
          <w:sz w:val="32"/>
          <w:szCs w:val="32"/>
          <w:highlight w:val="none"/>
        </w:rPr>
        <w:t>。</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治疗恶性肿瘤高质量仿制药关键技术开发</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kern w:val="0"/>
          <w:sz w:val="32"/>
          <w:szCs w:val="32"/>
        </w:rPr>
        <w:t>针对肝癌、肺癌、膀胱癌等恶性肿瘤临床治疗需求，开展高质量仿制药制剂（如脂质体、吸入制剂）、原料药关键技术攻关，完成质量与疗效一致性的药品和制剂研发。</w:t>
      </w:r>
    </w:p>
    <w:p>
      <w:pPr>
        <w:keepNext w:val="0"/>
        <w:keepLines w:val="0"/>
        <w:pageBreakBefore w:val="0"/>
        <w:widowControl w:val="0"/>
        <w:kinsoku/>
        <w:wordWrap/>
        <w:overflowPunct/>
        <w:topLinePunct/>
        <w:autoSpaceDE w:val="0"/>
        <w:autoSpaceDN/>
        <w:bidi w:val="0"/>
        <w:spacing w:line="580" w:lineRule="exact"/>
        <w:ind w:left="0" w:leftChars="0" w:firstLine="643" w:firstLineChars="200"/>
        <w:jc w:val="both"/>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kern w:val="2"/>
          <w:sz w:val="32"/>
          <w:szCs w:val="32"/>
          <w:highlight w:val="none"/>
          <w:lang w:val="en-US" w:eastAsia="zh-CN" w:bidi="ar-SA"/>
        </w:rPr>
        <w:t>考核指标：</w:t>
      </w:r>
      <w:r>
        <w:rPr>
          <w:rFonts w:hint="default" w:ascii="Times New Roman" w:hAnsi="Times New Roman" w:eastAsia="仿宋_GB2312" w:cs="Times New Roman"/>
          <w:kern w:val="0"/>
          <w:sz w:val="32"/>
          <w:szCs w:val="32"/>
        </w:rPr>
        <w:t>获得化学原料药上市申请批准通知书，获得制剂注册证书；受理发明专利不少于2件，授权发明专利不少于1件。</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江西特色中药饮片及辅料关键技术开发</w:t>
      </w:r>
    </w:p>
    <w:p>
      <w:pPr>
        <w:keepNext w:val="0"/>
        <w:keepLines w:val="0"/>
        <w:pageBreakBefore w:val="0"/>
        <w:widowControl w:val="0"/>
        <w:kinsoku/>
        <w:wordWrap/>
        <w:overflowPunct/>
        <w:topLinePunct/>
        <w:autoSpaceDE w:val="0"/>
        <w:autoSpaceDN/>
        <w:bidi w:val="0"/>
        <w:spacing w:line="580" w:lineRule="exact"/>
        <w:ind w:left="0" w:leftChars="0" w:firstLine="643"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kern w:val="0"/>
          <w:sz w:val="32"/>
          <w:szCs w:val="32"/>
          <w:highlight w:val="none"/>
        </w:rPr>
        <w:t>针对</w:t>
      </w:r>
      <w:r>
        <w:rPr>
          <w:rFonts w:hint="default" w:ascii="Times New Roman" w:hAnsi="Times New Roman" w:eastAsia="仿宋_GB2312" w:cs="Times New Roman"/>
          <w:kern w:val="0"/>
          <w:sz w:val="32"/>
          <w:szCs w:val="32"/>
        </w:rPr>
        <w:t>樟帮或建昌帮等江西特色中药饮片在炮制过程中</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存在</w:t>
      </w:r>
      <w:r>
        <w:rPr>
          <w:rFonts w:hint="default" w:ascii="Times New Roman" w:hAnsi="Times New Roman" w:eastAsia="仿宋_GB2312" w:cs="Times New Roman"/>
          <w:kern w:val="0"/>
          <w:sz w:val="32"/>
          <w:szCs w:val="32"/>
          <w:lang w:val="en-US" w:eastAsia="zh-CN"/>
        </w:rPr>
        <w:t>炮制</w:t>
      </w:r>
      <w:r>
        <w:rPr>
          <w:rFonts w:hint="default" w:ascii="Times New Roman" w:hAnsi="Times New Roman" w:eastAsia="仿宋_GB2312" w:cs="Times New Roman"/>
          <w:kern w:val="0"/>
          <w:sz w:val="32"/>
          <w:szCs w:val="32"/>
        </w:rPr>
        <w:t>用辅料</w:t>
      </w:r>
      <w:r>
        <w:rPr>
          <w:rFonts w:hint="default" w:ascii="Times New Roman" w:hAnsi="Times New Roman" w:eastAsia="仿宋_GB2312" w:cs="Times New Roman"/>
          <w:kern w:val="0"/>
          <w:sz w:val="32"/>
          <w:szCs w:val="32"/>
          <w:lang w:val="en-US" w:eastAsia="zh-CN"/>
        </w:rPr>
        <w:t>难以满足江西特色中药饮片炮制需求</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研究</w:t>
      </w:r>
      <w:r>
        <w:rPr>
          <w:rFonts w:hint="default" w:ascii="Times New Roman" w:hAnsi="Times New Roman" w:eastAsia="仿宋_GB2312" w:cs="Times New Roman"/>
          <w:kern w:val="0"/>
          <w:sz w:val="32"/>
          <w:szCs w:val="32"/>
        </w:rPr>
        <w:t>开发</w:t>
      </w:r>
      <w:r>
        <w:rPr>
          <w:rFonts w:hint="default" w:ascii="Times New Roman" w:hAnsi="Times New Roman" w:eastAsia="仿宋_GB2312" w:cs="Times New Roman"/>
          <w:kern w:val="0"/>
          <w:sz w:val="32"/>
          <w:szCs w:val="32"/>
          <w:lang w:val="en-US" w:eastAsia="zh-CN"/>
        </w:rPr>
        <w:t>提高饮片品质与安全性的</w:t>
      </w:r>
      <w:r>
        <w:rPr>
          <w:rFonts w:hint="default" w:ascii="Times New Roman" w:hAnsi="Times New Roman" w:eastAsia="仿宋_GB2312" w:cs="Times New Roman"/>
          <w:kern w:val="0"/>
          <w:sz w:val="32"/>
          <w:szCs w:val="32"/>
        </w:rPr>
        <w:t>特色辅料技术，开展多级工序连续化和工艺参数化研究，建立</w:t>
      </w:r>
      <w:r>
        <w:rPr>
          <w:rFonts w:hint="default" w:ascii="Times New Roman" w:hAnsi="Times New Roman" w:eastAsia="仿宋_GB2312" w:cs="Times New Roman"/>
          <w:kern w:val="0"/>
          <w:sz w:val="32"/>
          <w:szCs w:val="32"/>
          <w:lang w:val="en-US" w:eastAsia="zh-CN"/>
        </w:rPr>
        <w:t>基于多种药效成分的</w:t>
      </w:r>
      <w:r>
        <w:rPr>
          <w:rFonts w:hint="default" w:ascii="Times New Roman" w:hAnsi="Times New Roman" w:eastAsia="仿宋_GB2312" w:cs="Times New Roman"/>
          <w:kern w:val="0"/>
          <w:sz w:val="32"/>
          <w:szCs w:val="32"/>
        </w:rPr>
        <w:t>关键过程质量评价体系，阐明其炮制机理，</w:t>
      </w:r>
      <w:r>
        <w:rPr>
          <w:rFonts w:hint="default" w:ascii="Times New Roman" w:hAnsi="Times New Roman" w:eastAsia="仿宋_GB2312" w:cs="Times New Roman"/>
          <w:kern w:val="0"/>
          <w:sz w:val="32"/>
          <w:szCs w:val="32"/>
          <w:lang w:val="en-US" w:eastAsia="zh-CN"/>
        </w:rPr>
        <w:t>优化</w:t>
      </w:r>
      <w:r>
        <w:rPr>
          <w:rFonts w:hint="default" w:ascii="Times New Roman" w:hAnsi="Times New Roman" w:eastAsia="仿宋_GB2312" w:cs="Times New Roman"/>
          <w:kern w:val="0"/>
          <w:sz w:val="32"/>
          <w:szCs w:val="32"/>
        </w:rPr>
        <w:t>药用辅料；实现樟帮或建昌帮等特色中药饮片及辅料的现代产业转化</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tabs>
          <w:tab w:val="left" w:pos="0"/>
          <w:tab w:val="left" w:pos="922"/>
        </w:tabs>
        <w:kinsoku/>
        <w:wordWrap/>
        <w:overflowPunct/>
        <w:topLinePunct/>
        <w:autoSpaceDE w:val="0"/>
        <w:autoSpaceDN/>
        <w:bidi w:val="0"/>
        <w:adjustRightInd/>
        <w:snapToGrid/>
        <w:spacing w:line="580" w:lineRule="exact"/>
        <w:ind w:left="0" w:leftChars="0" w:firstLine="643" w:firstLineChars="200"/>
        <w:jc w:val="both"/>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bCs/>
          <w:sz w:val="32"/>
          <w:szCs w:val="32"/>
        </w:rPr>
        <w:t>建</w:t>
      </w:r>
      <w:r>
        <w:rPr>
          <w:rFonts w:hint="default" w:ascii="Times New Roman" w:hAnsi="Times New Roman" w:eastAsia="仿宋_GB2312" w:cs="Times New Roman"/>
          <w:kern w:val="0"/>
          <w:sz w:val="32"/>
          <w:szCs w:val="32"/>
        </w:rPr>
        <w:t>立2-3个特色辅料的药用标准；完成3-5个中药饮片的炮制工艺研究和生产技术规范；建立2-3个特色品种的专属质量评价体系；建立2-3个特色饮片生产应用示范；受理发明专利不少于3</w:t>
      </w:r>
      <w:r>
        <w:rPr>
          <w:rFonts w:hint="default" w:ascii="Times New Roman" w:hAnsi="Times New Roman" w:eastAsia="仿宋_GB2312" w:cs="Times New Roman"/>
          <w:kern w:val="0"/>
          <w:sz w:val="32"/>
          <w:szCs w:val="32"/>
          <w:lang w:val="en-US" w:eastAsia="zh-CN" w:bidi="ar-SA"/>
        </w:rPr>
        <w:t>项</w:t>
      </w:r>
      <w:r>
        <w:rPr>
          <w:rFonts w:hint="default" w:ascii="Times New Roman" w:hAnsi="Times New Roman" w:eastAsia="仿宋_GB2312" w:cs="Times New Roman"/>
          <w:kern w:val="0"/>
          <w:sz w:val="32"/>
          <w:szCs w:val="32"/>
        </w:rPr>
        <w:t>，授权发明专利不少于1</w:t>
      </w:r>
      <w:r>
        <w:rPr>
          <w:rFonts w:hint="default" w:ascii="Times New Roman" w:hAnsi="Times New Roman" w:eastAsia="仿宋_GB2312" w:cs="Times New Roman"/>
          <w:kern w:val="0"/>
          <w:sz w:val="32"/>
          <w:szCs w:val="32"/>
          <w:lang w:val="en-US" w:eastAsia="zh-CN" w:bidi="ar-SA"/>
        </w:rPr>
        <w:t>项</w:t>
      </w:r>
      <w:r>
        <w:rPr>
          <w:rFonts w:hint="default" w:ascii="Times New Roman" w:hAnsi="Times New Roman" w:eastAsia="仿宋_GB2312" w:cs="Times New Roman"/>
          <w:kern w:val="0"/>
          <w:sz w:val="32"/>
          <w:szCs w:val="32"/>
          <w:highlight w:val="none"/>
        </w:rPr>
        <w:t>。</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pacing w:val="-11"/>
          <w:sz w:val="32"/>
          <w:szCs w:val="32"/>
          <w:highlight w:val="none"/>
        </w:rPr>
      </w:pPr>
      <w:r>
        <w:rPr>
          <w:rFonts w:hint="default" w:ascii="Times New Roman" w:hAnsi="Times New Roman" w:eastAsia="仿宋_GB2312" w:cs="Times New Roman"/>
          <w:b/>
          <w:bCs/>
          <w:spacing w:val="-11"/>
          <w:sz w:val="32"/>
          <w:szCs w:val="32"/>
          <w:highlight w:val="none"/>
        </w:rPr>
        <w:t>江西特色植物高品质花果类精油提取关键技术研究及示范</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kern w:val="0"/>
          <w:sz w:val="32"/>
          <w:szCs w:val="32"/>
          <w:highlight w:val="none"/>
        </w:rPr>
        <w:t>针对</w:t>
      </w:r>
      <w:r>
        <w:rPr>
          <w:rFonts w:hint="default" w:ascii="Times New Roman" w:hAnsi="Times New Roman" w:eastAsia="仿宋_GB2312" w:cs="Times New Roman"/>
          <w:kern w:val="0"/>
          <w:sz w:val="32"/>
          <w:szCs w:val="32"/>
        </w:rPr>
        <w:t>江西</w:t>
      </w:r>
      <w:r>
        <w:rPr>
          <w:rFonts w:hint="default" w:ascii="Times New Roman" w:hAnsi="Times New Roman" w:eastAsia="仿宋_GB2312" w:cs="Times New Roman"/>
          <w:kern w:val="0"/>
          <w:sz w:val="32"/>
          <w:szCs w:val="32"/>
          <w:lang w:val="en-US" w:eastAsia="zh-CN"/>
        </w:rPr>
        <w:t>特色</w:t>
      </w:r>
      <w:r>
        <w:rPr>
          <w:rFonts w:hint="default" w:ascii="Times New Roman" w:hAnsi="Times New Roman" w:eastAsia="仿宋_GB2312" w:cs="Times New Roman"/>
          <w:kern w:val="0"/>
          <w:sz w:val="32"/>
          <w:szCs w:val="32"/>
        </w:rPr>
        <w:t>芳香植物落花</w:t>
      </w:r>
      <w:r>
        <w:rPr>
          <w:rFonts w:hint="default" w:ascii="Times New Roman" w:hAnsi="Times New Roman" w:eastAsia="仿宋_GB2312" w:cs="Times New Roman"/>
          <w:kern w:val="0"/>
          <w:sz w:val="32"/>
          <w:szCs w:val="32"/>
          <w:lang w:val="en-US" w:eastAsia="zh-CN"/>
        </w:rPr>
        <w:t>落果</w:t>
      </w:r>
      <w:r>
        <w:rPr>
          <w:rFonts w:hint="default" w:ascii="Times New Roman" w:hAnsi="Times New Roman" w:eastAsia="仿宋_GB2312" w:cs="Times New Roman"/>
          <w:kern w:val="0"/>
          <w:sz w:val="32"/>
          <w:szCs w:val="32"/>
        </w:rPr>
        <w:t>无用、花</w:t>
      </w:r>
      <w:r>
        <w:rPr>
          <w:rFonts w:hint="default" w:ascii="Times New Roman" w:hAnsi="Times New Roman" w:eastAsia="仿宋_GB2312" w:cs="Times New Roman"/>
          <w:kern w:val="0"/>
          <w:sz w:val="32"/>
          <w:szCs w:val="32"/>
          <w:lang w:val="en-US" w:eastAsia="zh-CN"/>
        </w:rPr>
        <w:t>果</w:t>
      </w:r>
      <w:r>
        <w:rPr>
          <w:rFonts w:hint="default" w:ascii="Times New Roman" w:hAnsi="Times New Roman" w:eastAsia="仿宋_GB2312" w:cs="Times New Roman"/>
          <w:kern w:val="0"/>
          <w:sz w:val="32"/>
          <w:szCs w:val="32"/>
        </w:rPr>
        <w:t>精油提取率低、溶剂残留、有效成分不确定等问题，依托江西</w:t>
      </w:r>
      <w:r>
        <w:rPr>
          <w:rFonts w:hint="default" w:ascii="Times New Roman" w:hAnsi="Times New Roman" w:eastAsia="仿宋_GB2312" w:cs="Times New Roman"/>
          <w:kern w:val="0"/>
          <w:sz w:val="32"/>
          <w:szCs w:val="32"/>
          <w:lang w:val="en-US" w:eastAsia="zh-CN"/>
        </w:rPr>
        <w:t>特色</w:t>
      </w:r>
      <w:r>
        <w:rPr>
          <w:rFonts w:hint="default" w:ascii="Times New Roman" w:hAnsi="Times New Roman" w:eastAsia="仿宋_GB2312" w:cs="Times New Roman"/>
          <w:kern w:val="0"/>
          <w:sz w:val="32"/>
          <w:szCs w:val="32"/>
        </w:rPr>
        <w:t>优势植物中枳壳、栀子、赣南脐橙等具有化妆品功效原料和天然香料开发价值且附加值高的品种，采用现代前沿技术开展花香</w:t>
      </w:r>
      <w:r>
        <w:rPr>
          <w:rFonts w:hint="default" w:ascii="Times New Roman" w:hAnsi="Times New Roman" w:eastAsia="仿宋_GB2312" w:cs="Times New Roman"/>
          <w:kern w:val="0"/>
          <w:sz w:val="32"/>
          <w:szCs w:val="32"/>
          <w:lang w:val="en-US" w:eastAsia="zh-CN"/>
        </w:rPr>
        <w:t>果</w:t>
      </w:r>
      <w:r>
        <w:rPr>
          <w:rFonts w:hint="default" w:ascii="Times New Roman" w:hAnsi="Times New Roman" w:eastAsia="仿宋_GB2312" w:cs="Times New Roman"/>
          <w:kern w:val="0"/>
          <w:sz w:val="32"/>
          <w:szCs w:val="32"/>
        </w:rPr>
        <w:t>类精油提取关键技术研究、特征组分分析及功效评价研究，为江西省</w:t>
      </w:r>
      <w:r>
        <w:rPr>
          <w:rFonts w:hint="default" w:ascii="Times New Roman" w:hAnsi="Times New Roman" w:eastAsia="仿宋_GB2312" w:cs="Times New Roman"/>
          <w:kern w:val="0"/>
          <w:sz w:val="32"/>
          <w:szCs w:val="32"/>
          <w:lang w:eastAsia="zh-CN"/>
        </w:rPr>
        <w:t>特色</w:t>
      </w:r>
      <w:r>
        <w:rPr>
          <w:rFonts w:hint="default" w:ascii="Times New Roman" w:hAnsi="Times New Roman" w:eastAsia="仿宋_GB2312" w:cs="Times New Roman"/>
          <w:kern w:val="0"/>
          <w:sz w:val="32"/>
          <w:szCs w:val="32"/>
        </w:rPr>
        <w:t>优势植物花</w:t>
      </w:r>
      <w:r>
        <w:rPr>
          <w:rFonts w:hint="default" w:ascii="Times New Roman" w:hAnsi="Times New Roman" w:eastAsia="仿宋_GB2312" w:cs="Times New Roman"/>
          <w:kern w:val="0"/>
          <w:sz w:val="32"/>
          <w:szCs w:val="32"/>
          <w:lang w:val="en-US" w:eastAsia="zh-CN"/>
        </w:rPr>
        <w:t>果</w:t>
      </w:r>
      <w:r>
        <w:rPr>
          <w:rFonts w:hint="default" w:ascii="Times New Roman" w:hAnsi="Times New Roman" w:eastAsia="仿宋_GB2312" w:cs="Times New Roman"/>
          <w:kern w:val="0"/>
          <w:sz w:val="32"/>
          <w:szCs w:val="32"/>
        </w:rPr>
        <w:t>类精油制备及其化妆品功效原料和天然香料的新品开发提供技术支撑和示范应用</w:t>
      </w:r>
      <w:r>
        <w:rPr>
          <w:rFonts w:hint="default" w:ascii="Times New Roman" w:hAnsi="Times New Roman" w:eastAsia="仿宋_GB2312" w:cs="Times New Roman"/>
          <w:kern w:val="0"/>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kern w:val="0"/>
          <w:sz w:val="32"/>
          <w:szCs w:val="32"/>
        </w:rPr>
        <w:t>开发江西</w:t>
      </w:r>
      <w:r>
        <w:rPr>
          <w:rFonts w:hint="default" w:ascii="Times New Roman" w:hAnsi="Times New Roman" w:eastAsia="仿宋_GB2312" w:cs="Times New Roman"/>
          <w:kern w:val="0"/>
          <w:sz w:val="32"/>
          <w:szCs w:val="32"/>
          <w:lang w:val="en-US" w:eastAsia="zh-CN"/>
        </w:rPr>
        <w:t>特色</w:t>
      </w:r>
      <w:r>
        <w:rPr>
          <w:rFonts w:hint="default" w:ascii="Times New Roman" w:hAnsi="Times New Roman" w:eastAsia="仿宋_GB2312" w:cs="Times New Roman"/>
          <w:kern w:val="0"/>
          <w:sz w:val="32"/>
          <w:szCs w:val="32"/>
        </w:rPr>
        <w:t>植物花</w:t>
      </w:r>
      <w:r>
        <w:rPr>
          <w:rFonts w:hint="default" w:ascii="Times New Roman" w:hAnsi="Times New Roman" w:eastAsia="仿宋_GB2312" w:cs="Times New Roman"/>
          <w:kern w:val="0"/>
          <w:sz w:val="32"/>
          <w:szCs w:val="32"/>
          <w:lang w:val="en-US" w:eastAsia="zh-CN"/>
        </w:rPr>
        <w:t>果</w:t>
      </w:r>
      <w:r>
        <w:rPr>
          <w:rFonts w:hint="default" w:ascii="Times New Roman" w:hAnsi="Times New Roman" w:eastAsia="仿宋_GB2312" w:cs="Times New Roman"/>
          <w:kern w:val="0"/>
          <w:sz w:val="32"/>
          <w:szCs w:val="32"/>
        </w:rPr>
        <w:t>类精油的提取关键技术方案1套；建立江西</w:t>
      </w:r>
      <w:r>
        <w:rPr>
          <w:rFonts w:hint="default" w:ascii="Times New Roman" w:hAnsi="Times New Roman" w:eastAsia="仿宋_GB2312" w:cs="Times New Roman"/>
          <w:kern w:val="0"/>
          <w:sz w:val="32"/>
          <w:szCs w:val="32"/>
          <w:lang w:eastAsia="zh-CN"/>
        </w:rPr>
        <w:t>特色</w:t>
      </w:r>
      <w:r>
        <w:rPr>
          <w:rFonts w:hint="default" w:ascii="Times New Roman" w:hAnsi="Times New Roman" w:eastAsia="仿宋_GB2312" w:cs="Times New Roman"/>
          <w:kern w:val="0"/>
          <w:sz w:val="32"/>
          <w:szCs w:val="32"/>
        </w:rPr>
        <w:t>植物花</w:t>
      </w:r>
      <w:r>
        <w:rPr>
          <w:rFonts w:hint="default" w:ascii="Times New Roman" w:hAnsi="Times New Roman" w:eastAsia="仿宋_GB2312" w:cs="Times New Roman"/>
          <w:kern w:val="0"/>
          <w:sz w:val="32"/>
          <w:szCs w:val="32"/>
          <w:lang w:eastAsia="zh-CN"/>
        </w:rPr>
        <w:t>果</w:t>
      </w:r>
      <w:r>
        <w:rPr>
          <w:rFonts w:hint="default" w:ascii="Times New Roman" w:hAnsi="Times New Roman" w:eastAsia="仿宋_GB2312" w:cs="Times New Roman"/>
          <w:kern w:val="0"/>
          <w:sz w:val="32"/>
          <w:szCs w:val="32"/>
        </w:rPr>
        <w:t>类精油品控标准体系，开发质量溯源系统1套；建立江西</w:t>
      </w:r>
      <w:r>
        <w:rPr>
          <w:rFonts w:hint="default" w:ascii="Times New Roman" w:hAnsi="Times New Roman" w:eastAsia="仿宋_GB2312" w:cs="Times New Roman"/>
          <w:kern w:val="0"/>
          <w:sz w:val="32"/>
          <w:szCs w:val="32"/>
          <w:lang w:val="en-US" w:eastAsia="zh-CN"/>
        </w:rPr>
        <w:t>特色</w:t>
      </w:r>
      <w:r>
        <w:rPr>
          <w:rFonts w:hint="default" w:ascii="Times New Roman" w:hAnsi="Times New Roman" w:eastAsia="仿宋_GB2312" w:cs="Times New Roman"/>
          <w:kern w:val="0"/>
          <w:sz w:val="32"/>
          <w:szCs w:val="32"/>
        </w:rPr>
        <w:t>植物花</w:t>
      </w:r>
      <w:r>
        <w:rPr>
          <w:rFonts w:hint="default" w:ascii="Times New Roman" w:hAnsi="Times New Roman" w:eastAsia="仿宋_GB2312" w:cs="Times New Roman"/>
          <w:kern w:val="0"/>
          <w:sz w:val="32"/>
          <w:szCs w:val="32"/>
          <w:lang w:val="en-US" w:eastAsia="zh-CN"/>
        </w:rPr>
        <w:t>果</w:t>
      </w:r>
      <w:r>
        <w:rPr>
          <w:rFonts w:hint="default" w:ascii="Times New Roman" w:hAnsi="Times New Roman" w:eastAsia="仿宋_GB2312" w:cs="Times New Roman"/>
          <w:kern w:val="0"/>
          <w:sz w:val="32"/>
          <w:szCs w:val="32"/>
        </w:rPr>
        <w:t>类精油抗炎抗菌、屏障修复、抗衰老等化妆品原料功效评价体系1套；申请发明专利不少于2项；制订江西</w:t>
      </w:r>
      <w:r>
        <w:rPr>
          <w:rFonts w:hint="default" w:ascii="Times New Roman" w:hAnsi="Times New Roman" w:eastAsia="仿宋_GB2312" w:cs="Times New Roman"/>
          <w:kern w:val="0"/>
          <w:sz w:val="32"/>
          <w:szCs w:val="32"/>
          <w:lang w:eastAsia="zh-CN"/>
        </w:rPr>
        <w:t>特色</w:t>
      </w:r>
      <w:r>
        <w:rPr>
          <w:rFonts w:hint="default" w:ascii="Times New Roman" w:hAnsi="Times New Roman" w:eastAsia="仿宋_GB2312" w:cs="Times New Roman"/>
          <w:kern w:val="0"/>
          <w:sz w:val="32"/>
          <w:szCs w:val="32"/>
        </w:rPr>
        <w:t>植物地方规范或团体标准不少于2项；开发江西</w:t>
      </w:r>
      <w:r>
        <w:rPr>
          <w:rFonts w:hint="default" w:ascii="Times New Roman" w:hAnsi="Times New Roman" w:eastAsia="仿宋_GB2312" w:cs="Times New Roman"/>
          <w:kern w:val="0"/>
          <w:sz w:val="32"/>
          <w:szCs w:val="32"/>
          <w:lang w:val="en-US" w:eastAsia="zh-CN"/>
        </w:rPr>
        <w:t>特色</w:t>
      </w:r>
      <w:r>
        <w:rPr>
          <w:rFonts w:hint="default" w:ascii="Times New Roman" w:hAnsi="Times New Roman" w:eastAsia="仿宋_GB2312" w:cs="Times New Roman"/>
          <w:kern w:val="0"/>
          <w:sz w:val="32"/>
          <w:szCs w:val="32"/>
        </w:rPr>
        <w:t>植物花</w:t>
      </w:r>
      <w:r>
        <w:rPr>
          <w:rFonts w:hint="default" w:ascii="Times New Roman" w:hAnsi="Times New Roman" w:eastAsia="仿宋_GB2312" w:cs="Times New Roman"/>
          <w:kern w:val="0"/>
          <w:sz w:val="32"/>
          <w:szCs w:val="32"/>
          <w:lang w:eastAsia="zh-CN"/>
        </w:rPr>
        <w:t>果</w:t>
      </w:r>
      <w:r>
        <w:rPr>
          <w:rFonts w:hint="default" w:ascii="Times New Roman" w:hAnsi="Times New Roman" w:eastAsia="仿宋_GB2312" w:cs="Times New Roman"/>
          <w:kern w:val="0"/>
          <w:sz w:val="32"/>
          <w:szCs w:val="32"/>
        </w:rPr>
        <w:t>精油应用相关的美妆、香薰及芳疗健康产品不少于3</w:t>
      </w:r>
      <w:r>
        <w:rPr>
          <w:rFonts w:hint="default" w:ascii="Times New Roman" w:hAnsi="Times New Roman" w:eastAsia="仿宋_GB2312" w:cs="Times New Roman"/>
          <w:kern w:val="0"/>
          <w:sz w:val="32"/>
          <w:szCs w:val="32"/>
          <w:lang w:val="en-US" w:eastAsia="zh-CN" w:bidi="ar-SA"/>
        </w:rPr>
        <w:t>项</w:t>
      </w:r>
      <w:r>
        <w:rPr>
          <w:rFonts w:hint="default" w:ascii="Times New Roman" w:hAnsi="Times New Roman" w:eastAsia="仿宋_GB2312" w:cs="Times New Roman"/>
          <w:bCs/>
          <w:sz w:val="32"/>
          <w:szCs w:val="32"/>
          <w:highlight w:val="none"/>
        </w:rPr>
        <w:t>。</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lang w:val="en-US" w:eastAsia="zh-CN"/>
        </w:rPr>
        <w:t>重组</w:t>
      </w:r>
      <w:r>
        <w:rPr>
          <w:rFonts w:hint="default" w:ascii="Times New Roman" w:hAnsi="Times New Roman" w:eastAsia="仿宋_GB2312" w:cs="Times New Roman"/>
          <w:b/>
          <w:bCs/>
          <w:sz w:val="32"/>
          <w:szCs w:val="32"/>
          <w:highlight w:val="none"/>
        </w:rPr>
        <w:t>蛋白质</w:t>
      </w:r>
      <w:r>
        <w:rPr>
          <w:rFonts w:hint="default" w:ascii="Times New Roman" w:hAnsi="Times New Roman" w:eastAsia="仿宋_GB2312" w:cs="Times New Roman"/>
          <w:b/>
          <w:bCs/>
          <w:sz w:val="32"/>
          <w:szCs w:val="32"/>
          <w:highlight w:val="none"/>
          <w:lang w:val="en-US" w:eastAsia="zh-CN"/>
        </w:rPr>
        <w:t>药物</w:t>
      </w:r>
      <w:r>
        <w:rPr>
          <w:rFonts w:hint="default" w:ascii="Times New Roman" w:hAnsi="Times New Roman" w:eastAsia="仿宋_GB2312" w:cs="Times New Roman"/>
          <w:b/>
          <w:bCs/>
          <w:sz w:val="32"/>
          <w:szCs w:val="32"/>
          <w:highlight w:val="none"/>
        </w:rPr>
        <w:t>和多肽原料药制造关键技术研发</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b w:val="0"/>
          <w:bCs/>
          <w:sz w:val="32"/>
          <w:szCs w:val="32"/>
          <w:highlight w:val="none"/>
          <w:lang w:eastAsia="zh-CN"/>
        </w:rPr>
        <w:t>针对</w:t>
      </w:r>
      <w:r>
        <w:rPr>
          <w:rFonts w:hint="default" w:ascii="Times New Roman" w:hAnsi="Times New Roman" w:eastAsia="仿宋_GB2312" w:cs="Times New Roman"/>
          <w:kern w:val="0"/>
          <w:sz w:val="32"/>
          <w:szCs w:val="32"/>
          <w:lang w:val="en-US" w:eastAsia="zh-CN"/>
        </w:rPr>
        <w:t>重组</w:t>
      </w:r>
      <w:r>
        <w:rPr>
          <w:rFonts w:hint="default" w:ascii="Times New Roman" w:hAnsi="Times New Roman" w:eastAsia="仿宋_GB2312" w:cs="Times New Roman"/>
          <w:kern w:val="0"/>
          <w:sz w:val="32"/>
          <w:szCs w:val="32"/>
        </w:rPr>
        <w:t>蛋白质</w:t>
      </w:r>
      <w:r>
        <w:rPr>
          <w:rFonts w:hint="default" w:ascii="Times New Roman" w:hAnsi="Times New Roman" w:eastAsia="仿宋_GB2312" w:cs="Times New Roman"/>
          <w:kern w:val="0"/>
          <w:sz w:val="32"/>
          <w:szCs w:val="32"/>
          <w:lang w:val="en-US" w:eastAsia="zh-CN"/>
        </w:rPr>
        <w:t>药物</w:t>
      </w:r>
      <w:r>
        <w:rPr>
          <w:rFonts w:hint="default" w:ascii="Times New Roman" w:hAnsi="Times New Roman" w:eastAsia="仿宋_GB2312" w:cs="Times New Roman"/>
          <w:kern w:val="0"/>
          <w:sz w:val="32"/>
          <w:szCs w:val="32"/>
        </w:rPr>
        <w:t>和多肽生物制备的产品质量和产率变异度大、过程控制困难等问题，开展关键技术瓶颈攻关，确定工艺的关键质量参数和控制点，建立各工艺阶段的评价标准，完成符合</w:t>
      </w:r>
      <w:r>
        <w:rPr>
          <w:rFonts w:hint="default" w:ascii="Times New Roman" w:hAnsi="Times New Roman" w:eastAsia="仿宋_GB2312" w:cs="Times New Roman"/>
          <w:kern w:val="0"/>
          <w:sz w:val="32"/>
          <w:szCs w:val="32"/>
          <w:lang w:val="en-US" w:eastAsia="zh-CN"/>
        </w:rPr>
        <w:t>重组</w:t>
      </w:r>
      <w:r>
        <w:rPr>
          <w:rFonts w:hint="default" w:ascii="Times New Roman" w:hAnsi="Times New Roman" w:eastAsia="仿宋_GB2312" w:cs="Times New Roman"/>
          <w:kern w:val="0"/>
          <w:sz w:val="32"/>
          <w:szCs w:val="32"/>
        </w:rPr>
        <w:t>蛋白质</w:t>
      </w:r>
      <w:r>
        <w:rPr>
          <w:rFonts w:hint="default" w:ascii="Times New Roman" w:hAnsi="Times New Roman" w:eastAsia="仿宋_GB2312" w:cs="Times New Roman"/>
          <w:kern w:val="0"/>
          <w:sz w:val="32"/>
          <w:szCs w:val="32"/>
          <w:lang w:val="en-US" w:eastAsia="zh-CN"/>
        </w:rPr>
        <w:t>药物</w:t>
      </w:r>
      <w:r>
        <w:rPr>
          <w:rFonts w:hint="default" w:ascii="Times New Roman" w:hAnsi="Times New Roman" w:eastAsia="仿宋_GB2312" w:cs="Times New Roman"/>
          <w:kern w:val="0"/>
          <w:sz w:val="32"/>
          <w:szCs w:val="32"/>
        </w:rPr>
        <w:t>和多肽原料药质量要求及经济需要的系统技术集成</w:t>
      </w:r>
      <w:r>
        <w:rPr>
          <w:rFonts w:hint="default" w:ascii="Times New Roman" w:hAnsi="Times New Roman" w:eastAsia="仿宋_GB2312" w:cs="Times New Roman"/>
          <w:kern w:val="0"/>
          <w:sz w:val="32"/>
          <w:szCs w:val="32"/>
          <w:highlight w:val="none"/>
        </w:rPr>
        <w:t>。</w:t>
      </w:r>
    </w:p>
    <w:p>
      <w:pPr>
        <w:keepNext w:val="0"/>
        <w:keepLines w:val="0"/>
        <w:pageBreakBefore w:val="0"/>
        <w:widowControl w:val="0"/>
        <w:kinsoku/>
        <w:wordWrap/>
        <w:overflowPunct/>
        <w:topLinePunct/>
        <w:autoSpaceDE w:val="0"/>
        <w:autoSpaceDN/>
        <w:bidi w:val="0"/>
        <w:adjustRightInd w:val="0"/>
        <w:snapToGrid w:val="0"/>
        <w:spacing w:line="580" w:lineRule="exact"/>
        <w:ind w:left="0" w:leftChars="0" w:firstLine="643" w:firstLineChars="200"/>
        <w:jc w:val="both"/>
        <w:rPr>
          <w:rFonts w:hint="default" w:ascii="Times New Roman" w:hAnsi="Times New Roman" w:eastAsia="宋体" w:cs="Times New Roman"/>
          <w:kern w:val="2"/>
          <w:sz w:val="32"/>
          <w:szCs w:val="32"/>
          <w:lang w:val="en-US" w:eastAsia="zh-CN" w:bidi="ar-SA"/>
        </w:rPr>
      </w:pPr>
      <w:r>
        <w:rPr>
          <w:rFonts w:hint="default" w:ascii="Times New Roman" w:hAnsi="Times New Roman" w:eastAsia="仿宋_GB2312" w:cs="Times New Roman"/>
          <w:b/>
          <w:kern w:val="2"/>
          <w:sz w:val="32"/>
          <w:szCs w:val="32"/>
          <w:highlight w:val="none"/>
          <w:lang w:val="en-US" w:eastAsia="zh-CN" w:bidi="ar-SA"/>
        </w:rPr>
        <w:t>考核指标：</w:t>
      </w:r>
      <w:r>
        <w:rPr>
          <w:rFonts w:hint="default" w:ascii="Times New Roman" w:hAnsi="Times New Roman" w:eastAsia="仿宋" w:cs="Times New Roman"/>
          <w:kern w:val="2"/>
          <w:sz w:val="32"/>
          <w:szCs w:val="32"/>
          <w:lang w:val="en-US" w:eastAsia="zh-CN" w:bidi="ar-SA"/>
        </w:rPr>
        <w:t>突破2-3项核心关键技术，完成1种</w:t>
      </w:r>
      <w:r>
        <w:rPr>
          <w:rFonts w:hint="default" w:ascii="Times New Roman" w:hAnsi="Times New Roman" w:eastAsia="仿宋_GB2312" w:cs="Times New Roman"/>
          <w:kern w:val="0"/>
          <w:sz w:val="32"/>
          <w:szCs w:val="32"/>
          <w:lang w:val="en-US" w:eastAsia="zh-CN" w:bidi="ar-SA"/>
        </w:rPr>
        <w:t>重组蛋白质药物临床前研究</w:t>
      </w:r>
      <w:r>
        <w:rPr>
          <w:rFonts w:hint="default" w:ascii="Times New Roman" w:hAnsi="Times New Roman" w:eastAsia="仿宋" w:cs="Times New Roman"/>
          <w:kern w:val="2"/>
          <w:sz w:val="32"/>
          <w:szCs w:val="32"/>
          <w:lang w:val="en-US" w:eastAsia="zh-CN" w:bidi="ar-SA"/>
        </w:rPr>
        <w:t>或多肽原料药的注册备案，</w:t>
      </w:r>
      <w:r>
        <w:rPr>
          <w:rStyle w:val="12"/>
          <w:rFonts w:hint="default" w:ascii="Times New Roman" w:hAnsi="Times New Roman" w:eastAsia="仿宋" w:cs="Times New Roman"/>
          <w:kern w:val="2"/>
          <w:sz w:val="32"/>
          <w:szCs w:val="32"/>
          <w:lang w:val="en-US" w:eastAsia="zh-CN" w:bidi="ar"/>
        </w:rPr>
        <w:t>受理发明专利不少于2</w:t>
      </w:r>
      <w:r>
        <w:rPr>
          <w:rFonts w:hint="default" w:ascii="Times New Roman" w:hAnsi="Times New Roman" w:eastAsia="仿宋_GB2312" w:cs="Times New Roman"/>
          <w:kern w:val="0"/>
          <w:sz w:val="32"/>
          <w:szCs w:val="32"/>
          <w:lang w:val="en-US" w:eastAsia="zh-CN" w:bidi="ar-SA"/>
        </w:rPr>
        <w:t>项</w:t>
      </w:r>
      <w:r>
        <w:rPr>
          <w:rStyle w:val="12"/>
          <w:rFonts w:hint="default" w:ascii="Times New Roman" w:hAnsi="Times New Roman" w:eastAsia="仿宋" w:cs="Times New Roman"/>
          <w:kern w:val="2"/>
          <w:sz w:val="32"/>
          <w:szCs w:val="32"/>
          <w:lang w:val="en-US" w:eastAsia="zh-CN" w:bidi="ar"/>
        </w:rPr>
        <w:t>，授权发明专利不少于1</w:t>
      </w:r>
      <w:r>
        <w:rPr>
          <w:rFonts w:hint="default" w:ascii="Times New Roman" w:hAnsi="Times New Roman" w:eastAsia="仿宋_GB2312" w:cs="Times New Roman"/>
          <w:kern w:val="0"/>
          <w:sz w:val="32"/>
          <w:szCs w:val="32"/>
          <w:lang w:val="en-US" w:eastAsia="zh-CN" w:bidi="ar-SA"/>
        </w:rPr>
        <w:t>项</w:t>
      </w:r>
      <w:r>
        <w:rPr>
          <w:rFonts w:hint="default" w:ascii="Times New Roman" w:hAnsi="Times New Roman" w:eastAsia="仿宋_GB2312" w:cs="Times New Roman"/>
          <w:color w:val="000000"/>
          <w:kern w:val="0"/>
          <w:sz w:val="32"/>
          <w:szCs w:val="32"/>
          <w:lang w:val="en-US" w:eastAsia="zh-CN" w:bidi="ar-SA"/>
        </w:rPr>
        <w:t>。</w:t>
      </w:r>
    </w:p>
    <w:p>
      <w:pPr>
        <w:keepNext w:val="0"/>
        <w:keepLines w:val="0"/>
        <w:pageBreakBefore w:val="0"/>
        <w:widowControl w:val="0"/>
        <w:kinsoku/>
        <w:wordWrap/>
        <w:overflowPunct/>
        <w:topLinePunct/>
        <w:autoSpaceDE w:val="0"/>
        <w:autoSpaceDN/>
        <w:bidi w:val="0"/>
        <w:snapToGrid/>
        <w:spacing w:line="580" w:lineRule="exact"/>
        <w:ind w:left="0" w:leftChars="0" w:firstLine="640" w:firstLineChars="200"/>
        <w:jc w:val="both"/>
        <w:textAlignment w:val="auto"/>
        <w:outlineLvl w:val="1"/>
        <w:rPr>
          <w:rFonts w:hint="default" w:ascii="Times New Roman" w:hAnsi="Times New Roman" w:eastAsia="黑体" w:cs="Times New Roman"/>
          <w:b w:val="0"/>
          <w:bCs w:val="0"/>
          <w:sz w:val="32"/>
          <w:szCs w:val="32"/>
          <w:highlight w:val="none"/>
          <w:lang w:eastAsia="zh-Hans"/>
        </w:rPr>
      </w:pPr>
      <w:r>
        <w:rPr>
          <w:rFonts w:hint="default" w:ascii="Times New Roman" w:hAnsi="Times New Roman" w:eastAsia="黑体" w:cs="Times New Roman"/>
          <w:b w:val="0"/>
          <w:bCs w:val="0"/>
          <w:sz w:val="32"/>
          <w:szCs w:val="32"/>
          <w:highlight w:val="none"/>
          <w:lang w:eastAsia="zh-Hans"/>
        </w:rPr>
        <w:t>三、卫生健康领域</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心血管疾病急危重症风险预警与智能监控技术研究</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bCs/>
          <w:sz w:val="32"/>
          <w:szCs w:val="32"/>
          <w:highlight w:val="none"/>
        </w:rPr>
        <w:t>针对</w:t>
      </w:r>
      <w:r>
        <w:rPr>
          <w:rFonts w:hint="default" w:ascii="Times New Roman" w:hAnsi="Times New Roman" w:eastAsia="仿宋_GB2312" w:cs="Times New Roman"/>
          <w:color w:val="000000"/>
          <w:kern w:val="0"/>
          <w:sz w:val="32"/>
          <w:szCs w:val="32"/>
          <w:lang w:bidi="ar"/>
        </w:rPr>
        <w:t>心血管急危重症（如心脏骤停、主动脉夹层、急性心肌梗死等），建立相关对照试验或注册系统，纳入多模态临床资料（病史、检验、影像、基因）等指标信息，通过临床与生物学等指标，明确相关急危重症的临床特征及危险因素；构建患者人群病情恶化预警的智能预测模型；发现新指标并揭示新机制；开发自动识别心电、生物标志物、影像参数等异常信号指标的心血管远程数据监测、判别与处理平台，以实现对高危人群的主动监测、早期预警和智能干预综合管理，降低病死率</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bCs/>
          <w:sz w:val="32"/>
          <w:szCs w:val="32"/>
          <w:highlight w:val="none"/>
        </w:rPr>
        <w:t>建立</w:t>
      </w:r>
      <w:r>
        <w:rPr>
          <w:rFonts w:hint="default" w:ascii="Times New Roman" w:hAnsi="Times New Roman" w:eastAsia="仿宋_GB2312" w:cs="Times New Roman"/>
          <w:kern w:val="0"/>
          <w:sz w:val="32"/>
          <w:szCs w:val="32"/>
        </w:rPr>
        <w:t>不少于500例的相关急危重症（如心脏骤停、主动脉夹层、急性心肌梗死等至少1种）多中心对照数据管理平台1个；发现新标志物和新机制1-2项；建立个体化智能安全性评估和综合干预技术1个（智能监测便携仪器1套；研发基于区域内人群的移动医疗技术的心血管疾病及其急危重症数字化管理云平台1个；授权发明专利或登记软件著作权1-2项。牵头或参与制定行业标准不少于1项，并在</w:t>
      </w:r>
      <w:r>
        <w:rPr>
          <w:rFonts w:hint="default" w:ascii="Times New Roman" w:hAnsi="Times New Roman" w:eastAsia="仿宋_GB2312" w:cs="Times New Roman"/>
          <w:kern w:val="0"/>
          <w:sz w:val="32"/>
          <w:szCs w:val="32"/>
          <w:lang w:eastAsia="zh-CN"/>
        </w:rPr>
        <w:t>江西</w:t>
      </w:r>
      <w:r>
        <w:rPr>
          <w:rFonts w:hint="default" w:ascii="Times New Roman" w:hAnsi="Times New Roman" w:eastAsia="仿宋_GB2312" w:cs="Times New Roman"/>
          <w:kern w:val="0"/>
          <w:sz w:val="32"/>
          <w:szCs w:val="32"/>
        </w:rPr>
        <w:t>至少10家医疗机构开展应用示范</w:t>
      </w:r>
      <w:r>
        <w:rPr>
          <w:rFonts w:hint="default" w:ascii="Times New Roman" w:hAnsi="Times New Roman" w:eastAsia="仿宋_GB2312" w:cs="Times New Roman"/>
          <w:bCs/>
          <w:sz w:val="32"/>
          <w:szCs w:val="32"/>
          <w:highlight w:val="none"/>
        </w:rPr>
        <w:t>。</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帕金森病早期生物标志物及辅助诊断技术研发</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bCs/>
          <w:kern w:val="0"/>
          <w:sz w:val="32"/>
          <w:szCs w:val="32"/>
        </w:rPr>
        <w:t>针对</w:t>
      </w:r>
      <w:r>
        <w:rPr>
          <w:rFonts w:hint="default" w:ascii="Times New Roman" w:hAnsi="Times New Roman" w:eastAsia="仿宋_GB2312" w:cs="Times New Roman"/>
          <w:color w:val="000000"/>
          <w:kern w:val="0"/>
          <w:sz w:val="32"/>
          <w:szCs w:val="32"/>
          <w:lang w:bidi="ar"/>
        </w:rPr>
        <w:t>已确诊帕金森病患者，基于智能多模态影像融合技术，开展帕金森病神经影像学标志物和生物标志物的筛选并开展验证；获得可用于帕金森病早期预警、早期诊断的特异性生物标志物，研发高灵敏度、高特异性的帕金森病的检测与诊断技术及试剂盒</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bCs/>
          <w:sz w:val="32"/>
          <w:szCs w:val="32"/>
          <w:highlight w:val="none"/>
        </w:rPr>
        <w:t>建立</w:t>
      </w:r>
      <w:r>
        <w:rPr>
          <w:rFonts w:hint="default" w:ascii="Times New Roman" w:hAnsi="Times New Roman" w:eastAsia="仿宋_GB2312" w:cs="Times New Roman"/>
          <w:kern w:val="0"/>
          <w:sz w:val="32"/>
          <w:szCs w:val="32"/>
        </w:rPr>
        <w:t>不少于500例的队列，确立早期帕金森病的神经影像评价关键技术1项，开发1-2项帕金森病早期影像标志物和生物标志物检测技术和方法；发现至少2个帕金森病早期诊断的生物标志物，开发1-2项帕金森病诊断试剂盒；授权发明专利1-2项；发表高质量论文4-5篇；影像诊断技术和诊断试剂盒至少10家医疗机构开展应用示范</w:t>
      </w:r>
      <w:r>
        <w:rPr>
          <w:rFonts w:hint="default" w:ascii="Times New Roman" w:hAnsi="Times New Roman" w:eastAsia="仿宋_GB2312" w:cs="Times New Roman"/>
          <w:bCs/>
          <w:sz w:val="32"/>
          <w:szCs w:val="32"/>
          <w:highlight w:val="none"/>
        </w:rPr>
        <w:t>。</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呼吸系统慢性疾病早期诊断及个体化治疗技术研究</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bCs/>
          <w:sz w:val="32"/>
          <w:szCs w:val="32"/>
          <w:highlight w:val="none"/>
        </w:rPr>
        <w:t>针对</w:t>
      </w:r>
      <w:r>
        <w:rPr>
          <w:rFonts w:hint="default" w:ascii="Times New Roman" w:hAnsi="Times New Roman" w:eastAsia="仿宋_GB2312" w:cs="Times New Roman"/>
          <w:color w:val="000000"/>
          <w:kern w:val="0"/>
          <w:sz w:val="32"/>
          <w:szCs w:val="32"/>
          <w:lang w:bidi="ar"/>
        </w:rPr>
        <w:t>慢性阻塞性肺病、肺纤维化、哮喘等呼吸系统慢性疾病，基于转录组学等技术，探索呼吸系统慢性疾病进展或急性加重临床指标与基因差异的相关性，构建呼吸系统慢性疾病进展或急性加重的转录组学图谱，探索疾病的发生发展关键分子机制、干预靶点，筛选能够早期诊断和识别不良预后的生物标志物，建立呼吸系统慢性疾病的个体化治疗策略方案</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kern w:val="0"/>
          <w:sz w:val="32"/>
          <w:szCs w:val="32"/>
        </w:rPr>
        <w:t>选择一种呼吸系统慢性疾病，建立不少于500例的疾病队列，建立疾病的转录组图谱；建立疾病进展或急性加重高危因素及基因谱；筛选并验证至少2个关键分子靶点；研发新型个体化干预手段至少1个；形成至少1个呼吸系统慢性疾病进展或急性加重相关高危因素的临床干预路径和方案；参与制定行业地方标准、指南或共识至少1项；申请/授权发明专利至少2项；发表高质量论文至少3-5篇。</w:t>
      </w:r>
      <w:r>
        <w:rPr>
          <w:rFonts w:hint="default" w:ascii="Times New Roman" w:hAnsi="Times New Roman" w:eastAsia="仿宋_GB2312" w:cs="Times New Roman"/>
          <w:kern w:val="0"/>
          <w:sz w:val="32"/>
          <w:szCs w:val="32"/>
          <w:lang w:eastAsia="zh-CN"/>
        </w:rPr>
        <w:t>有关技术</w:t>
      </w:r>
      <w:r>
        <w:rPr>
          <w:rFonts w:hint="default" w:ascii="Times New Roman" w:hAnsi="Times New Roman" w:eastAsia="仿宋_GB2312" w:cs="Times New Roman"/>
          <w:kern w:val="0"/>
          <w:sz w:val="32"/>
          <w:szCs w:val="32"/>
        </w:rPr>
        <w:t>在</w:t>
      </w:r>
      <w:r>
        <w:rPr>
          <w:rFonts w:hint="default" w:ascii="Times New Roman" w:hAnsi="Times New Roman" w:eastAsia="仿宋_GB2312" w:cs="Times New Roman"/>
          <w:kern w:val="0"/>
          <w:sz w:val="32"/>
          <w:szCs w:val="32"/>
          <w:lang w:eastAsia="zh-CN"/>
        </w:rPr>
        <w:t>江西</w:t>
      </w:r>
      <w:r>
        <w:rPr>
          <w:rFonts w:hint="default" w:ascii="Times New Roman" w:hAnsi="Times New Roman" w:eastAsia="仿宋_GB2312" w:cs="Times New Roman"/>
          <w:kern w:val="0"/>
          <w:sz w:val="32"/>
          <w:szCs w:val="32"/>
        </w:rPr>
        <w:t>至少10家医疗机构开展应用示范</w:t>
      </w:r>
      <w:r>
        <w:rPr>
          <w:rFonts w:hint="default" w:ascii="Times New Roman" w:hAnsi="Times New Roman" w:eastAsia="仿宋_GB2312" w:cs="Times New Roman"/>
          <w:bCs/>
          <w:sz w:val="32"/>
          <w:szCs w:val="32"/>
          <w:highlight w:val="none"/>
        </w:rPr>
        <w:t>。</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江西高发恶性肿瘤诊疗新靶点筛选及应用研究</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color w:val="000000"/>
          <w:kern w:val="0"/>
          <w:sz w:val="32"/>
          <w:szCs w:val="32"/>
          <w:lang w:bidi="ar"/>
        </w:rPr>
        <w:t>选择1-2种江西高发恶性肿瘤（消化系统、呼吸系统、乳腺、头颈等），运用多组学高通量分析技术，构建肿瘤靶点筛选技术体系，寻找与肿瘤发生发展相关的关键基因或生物标志物；利用动物模型，探索相关基因在肿瘤发生发展的作用及调控的分子机制；为相关肿瘤的早期诊断和精准治疗提供重要靶点，为江西省高发恶性肿瘤筛查、早期诊断和治疗提供新的有效手段</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宋体" w:cs="Times New Roman"/>
          <w:sz w:val="32"/>
          <w:szCs w:val="32"/>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kern w:val="0"/>
          <w:sz w:val="32"/>
          <w:szCs w:val="32"/>
        </w:rPr>
        <w:t>建立不少于2000人的江西高发恶性肿瘤多中心队列及数据库；建立肿瘤靶点、早期诊断关键标志物筛选技术，筛选并验证肿瘤相关分子生物标志物1-2个，研发肿瘤体外诊断试剂盒1-2种，完成临床前有效性研究；申请获得发明专利2-3项，发表高水平研究论文3-5篇。</w:t>
      </w:r>
      <w:r>
        <w:rPr>
          <w:rFonts w:hint="default" w:ascii="Times New Roman" w:hAnsi="Times New Roman" w:eastAsia="仿宋_GB2312" w:cs="Times New Roman"/>
          <w:kern w:val="0"/>
          <w:sz w:val="32"/>
          <w:szCs w:val="32"/>
          <w:lang w:eastAsia="zh-CN"/>
        </w:rPr>
        <w:t>有关技术</w:t>
      </w:r>
      <w:r>
        <w:rPr>
          <w:rFonts w:hint="default" w:ascii="Times New Roman" w:hAnsi="Times New Roman" w:eastAsia="仿宋_GB2312" w:cs="Times New Roman"/>
          <w:kern w:val="0"/>
          <w:sz w:val="32"/>
          <w:szCs w:val="32"/>
        </w:rPr>
        <w:t>在</w:t>
      </w:r>
      <w:r>
        <w:rPr>
          <w:rFonts w:hint="default" w:ascii="Times New Roman" w:hAnsi="Times New Roman" w:eastAsia="仿宋_GB2312" w:cs="Times New Roman"/>
          <w:kern w:val="0"/>
          <w:sz w:val="32"/>
          <w:szCs w:val="32"/>
          <w:lang w:eastAsia="zh-CN"/>
        </w:rPr>
        <w:t>江西</w:t>
      </w:r>
      <w:r>
        <w:rPr>
          <w:rFonts w:hint="default" w:ascii="Times New Roman" w:hAnsi="Times New Roman" w:eastAsia="仿宋_GB2312" w:cs="Times New Roman"/>
          <w:kern w:val="0"/>
          <w:sz w:val="32"/>
          <w:szCs w:val="32"/>
        </w:rPr>
        <w:t>至少10家医疗机构开展应用示范</w:t>
      </w:r>
      <w:r>
        <w:rPr>
          <w:rFonts w:hint="default" w:ascii="Times New Roman" w:hAnsi="Times New Roman" w:eastAsia="仿宋_GB2312" w:cs="Times New Roman"/>
          <w:bCs/>
          <w:sz w:val="32"/>
          <w:szCs w:val="32"/>
          <w:highlight w:val="none"/>
        </w:rPr>
        <w:t>。</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新生儿呼吸系统危重症防治关键技术研究及应用</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
          <w:kern w:val="2"/>
          <w:sz w:val="32"/>
          <w:szCs w:val="32"/>
          <w:highlight w:val="none"/>
          <w:lang w:val="en-US" w:eastAsia="zh-CN" w:bidi="ar-SA"/>
        </w:rPr>
        <w:t>研究内容：</w:t>
      </w:r>
      <w:r>
        <w:rPr>
          <w:rFonts w:hint="default" w:ascii="Times New Roman" w:hAnsi="Times New Roman" w:eastAsia="仿宋_GB2312" w:cs="Times New Roman"/>
          <w:color w:val="000000"/>
          <w:kern w:val="0"/>
          <w:sz w:val="32"/>
          <w:szCs w:val="32"/>
          <w:lang w:val="en-US" w:eastAsia="zh-CN" w:bidi="ar"/>
        </w:rPr>
        <w:t>针对江西高发新生儿呼吸系统常见危重症，建立临床资料数据库，研究早期诊断标志物筛选方法，研发快速检测技术</w:t>
      </w:r>
      <w:r>
        <w:rPr>
          <w:rFonts w:hint="default" w:ascii="Times New Roman" w:hAnsi="Times New Roman" w:eastAsia="仿宋_GB2312" w:cs="Times New Roman"/>
          <w:kern w:val="0"/>
          <w:sz w:val="32"/>
          <w:szCs w:val="32"/>
          <w:lang w:val="en-US" w:eastAsia="zh-CN" w:bidi="ar-SA"/>
        </w:rPr>
        <w:t>，获取新生儿危重症死亡原因排序</w:t>
      </w:r>
      <w:r>
        <w:rPr>
          <w:rFonts w:hint="default" w:ascii="Times New Roman" w:hAnsi="Times New Roman" w:eastAsia="仿宋_GB2312" w:cs="Times New Roman"/>
          <w:color w:val="000000"/>
          <w:kern w:val="0"/>
          <w:sz w:val="32"/>
          <w:szCs w:val="32"/>
          <w:lang w:val="en-US" w:eastAsia="zh-CN" w:bidi="ar"/>
        </w:rPr>
        <w:t>；研究防治措施的疗效评估，研发有效防治技术；研发相关风险防治技术；开展高水平多中心循证医学研究，形成相关预防、诊治方案或临床管理规范，降低新生儿危重症病死率</w:t>
      </w:r>
      <w:r>
        <w:rPr>
          <w:rFonts w:hint="default" w:ascii="Times New Roman" w:hAnsi="Times New Roman" w:eastAsia="仿宋_GB2312" w:cs="Times New Roman"/>
          <w:bCs/>
          <w:kern w:val="2"/>
          <w:sz w:val="32"/>
          <w:szCs w:val="32"/>
          <w:highlight w:val="none"/>
          <w:lang w:val="en-US" w:eastAsia="zh-CN" w:bidi="ar-SA"/>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
          <w:kern w:val="2"/>
          <w:sz w:val="32"/>
          <w:szCs w:val="32"/>
          <w:highlight w:val="none"/>
          <w:lang w:val="en-US" w:eastAsia="zh-CN" w:bidi="ar-SA"/>
        </w:rPr>
        <w:t>考核指标：</w:t>
      </w:r>
      <w:r>
        <w:rPr>
          <w:rFonts w:hint="default" w:ascii="Times New Roman" w:hAnsi="Times New Roman" w:eastAsia="仿宋_GB2312" w:cs="Times New Roman"/>
          <w:kern w:val="0"/>
          <w:sz w:val="32"/>
          <w:szCs w:val="32"/>
          <w:lang w:val="en-US" w:eastAsia="zh-CN" w:bidi="ar-SA"/>
        </w:rPr>
        <w:t>针对新生儿呼吸系统常见危重症，筛选并验证2-3个有效临床诊断标志物，授权发明专利1-2项；研发临床有效防治技术或方案1-2项；制定相关诊治方案或临床管理规范至少1项；发表高质量论文3-5篇；建立临床干预路径和方案，依托分级转诊救治网络，在省内10家医疗机构开展应用示范</w:t>
      </w:r>
      <w:r>
        <w:rPr>
          <w:rFonts w:hint="default" w:ascii="Times New Roman" w:hAnsi="Times New Roman" w:eastAsia="仿宋_GB2312" w:cs="Times New Roman"/>
          <w:bCs/>
          <w:kern w:val="2"/>
          <w:sz w:val="32"/>
          <w:szCs w:val="32"/>
          <w:highlight w:val="none"/>
          <w:lang w:val="en-US" w:eastAsia="zh-CN" w:bidi="ar-SA"/>
        </w:rPr>
        <w:t>。</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中医治疗肺癌临床研究</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研究内容：</w:t>
      </w:r>
      <w:r>
        <w:rPr>
          <w:rFonts w:hint="default" w:ascii="Times New Roman" w:hAnsi="Times New Roman" w:eastAsia="仿宋_GB2312" w:cs="Times New Roman"/>
          <w:color w:val="000000"/>
          <w:kern w:val="0"/>
          <w:sz w:val="32"/>
          <w:szCs w:val="32"/>
          <w:lang w:bidi="ar"/>
        </w:rPr>
        <w:t>基于名中医临床经验，中医开展肺癌患者的中医证候及其规律研究；挖掘名中医临床人用经验在临床数据，利用现代药理学、基因组学、蛋白组学、代谢组学等技术方法探讨中医治疗肺癌的科学内涵及作用机制，为中医药在肺癌的临床应用提供循证医学证据；提供具有良好疗效的肺癌中医诊疗治疗方案，并进行推广应用</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考核指标：</w:t>
      </w:r>
      <w:r>
        <w:rPr>
          <w:rFonts w:hint="default" w:ascii="Times New Roman" w:hAnsi="Times New Roman" w:eastAsia="仿宋_GB2312" w:cs="Times New Roman"/>
          <w:kern w:val="0"/>
          <w:sz w:val="32"/>
          <w:szCs w:val="32"/>
        </w:rPr>
        <w:t>建立不少于500例的队列，优化并确定中医治疗方案，明确中医症候特点；阐明其治疗肺癌的作用的可能机理，研制肺癌治疗中药院内制剂1-3个，获得国家专利1-2项；形成肺癌中医临床专家共识或诊疗方案1项。</w:t>
      </w:r>
      <w:r>
        <w:rPr>
          <w:rFonts w:hint="default" w:ascii="Times New Roman" w:hAnsi="Times New Roman" w:eastAsia="仿宋_GB2312" w:cs="Times New Roman"/>
          <w:kern w:val="0"/>
          <w:sz w:val="32"/>
          <w:szCs w:val="32"/>
          <w:lang w:eastAsia="zh-CN"/>
        </w:rPr>
        <w:t>有关技术</w:t>
      </w:r>
      <w:r>
        <w:rPr>
          <w:rFonts w:hint="default" w:ascii="Times New Roman" w:hAnsi="Times New Roman" w:eastAsia="仿宋_GB2312" w:cs="Times New Roman"/>
          <w:kern w:val="0"/>
          <w:sz w:val="32"/>
          <w:szCs w:val="32"/>
        </w:rPr>
        <w:t>在不少于10家医疗机构进行推广应用</w:t>
      </w:r>
      <w:r>
        <w:rPr>
          <w:rFonts w:hint="default" w:ascii="Times New Roman" w:hAnsi="Times New Roman" w:eastAsia="仿宋_GB2312" w:cs="Times New Roman"/>
          <w:sz w:val="32"/>
          <w:szCs w:val="32"/>
          <w:highlight w:val="none"/>
        </w:rPr>
        <w:t>。</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ARDS呼吸支持及并发症防控技术研究</w:t>
      </w:r>
      <w:r>
        <w:rPr>
          <w:rFonts w:hint="default" w:ascii="Times New Roman" w:hAnsi="Times New Roman" w:eastAsia="仿宋_GB2312" w:cs="Times New Roman"/>
          <w:b/>
          <w:bCs/>
          <w:sz w:val="32"/>
          <w:szCs w:val="32"/>
          <w:highlight w:val="none"/>
          <w:lang w:eastAsia="zh-CN"/>
        </w:rPr>
        <w:t>（青年科学家项目）</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color w:val="000000"/>
          <w:kern w:val="0"/>
          <w:sz w:val="32"/>
          <w:szCs w:val="32"/>
          <w:lang w:bidi="ar"/>
        </w:rPr>
        <w:t>通过多中心急性呼吸窘迫综合征（ARDS）临床研究，结合临床与生物信息数据，利用大数据库和AI技术，建立ARDS个体化呼吸支持策略，探索呼吸机相关肺损伤早期识别、监测与综合防控策略，探索ARDS呼吸支持及呼吸机相关肺损伤关键分子机制、干预靶点，筛选能够早期诊断和识别预后不良生物标志物，建立ARDS防治长期有效的管理策略</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bCs/>
          <w:sz w:val="32"/>
          <w:szCs w:val="32"/>
          <w:highlight w:val="none"/>
        </w:rPr>
        <w:t>建立</w:t>
      </w:r>
      <w:r>
        <w:rPr>
          <w:rFonts w:hint="default" w:ascii="Times New Roman" w:hAnsi="Times New Roman" w:eastAsia="仿宋_GB2312" w:cs="Times New Roman"/>
          <w:kern w:val="0"/>
          <w:sz w:val="32"/>
          <w:szCs w:val="32"/>
        </w:rPr>
        <w:t>不少于500例的ARDS队列，研发新型ARDS呼吸支持关键技术1-2项，制定针对ARDS不同表型的个体化呼吸支持策略、呼吸机相关肺损伤防控及管理方案2-3项，并在省内至少10家医疗机构开展应用示范，申请发明专利1-2项，发表高质量论文2-4篇</w:t>
      </w:r>
      <w:r>
        <w:rPr>
          <w:rFonts w:hint="default" w:ascii="Times New Roman" w:hAnsi="Times New Roman" w:eastAsia="仿宋_GB2312" w:cs="Times New Roman"/>
          <w:bCs/>
          <w:sz w:val="32"/>
          <w:szCs w:val="32"/>
          <w:highlight w:val="none"/>
        </w:rPr>
        <w:t>。</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糖尿病慢性并发症的早期识别与干预研究</w:t>
      </w:r>
      <w:r>
        <w:rPr>
          <w:rFonts w:hint="default" w:ascii="Times New Roman" w:hAnsi="Times New Roman" w:eastAsia="仿宋_GB2312" w:cs="Times New Roman"/>
          <w:b/>
          <w:bCs/>
          <w:sz w:val="32"/>
          <w:szCs w:val="32"/>
          <w:highlight w:val="none"/>
          <w:lang w:eastAsia="zh-CN"/>
        </w:rPr>
        <w:t>（青年科学家项目）</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bCs/>
          <w:kern w:val="0"/>
          <w:sz w:val="32"/>
          <w:szCs w:val="32"/>
        </w:rPr>
        <w:t>针对</w:t>
      </w:r>
      <w:r>
        <w:rPr>
          <w:rFonts w:hint="default" w:ascii="Times New Roman" w:hAnsi="Times New Roman" w:eastAsia="仿宋_GB2312" w:cs="Times New Roman"/>
          <w:color w:val="000000"/>
          <w:kern w:val="0"/>
          <w:sz w:val="32"/>
          <w:szCs w:val="32"/>
          <w:lang w:bidi="ar"/>
        </w:rPr>
        <w:t>糖尿病高发的肾脏病变、肝脏病变、视网膜病变与糖尿病足等慢性并发症，基于已有的研究队列或前瞻性研究数据，明确慢性并发症发生发展的主要危险因素；综合临床表型特征、检验指标、基因突变及家系分析和代谢组学等相关大数据，并结合相关动物模型，探索新的糖尿病并发症发病机制，寻找慢性并发症风险预测标志物，建立早期诊断模型；针对糖尿病各并发症高风险或并发症初期人群，探索根据并发症发病机制研究结果采取干预措施，形成糖尿病并发症的早期风险预测-早期诊断-早期干预的新型临床诊疗路径，提高目标人群的糖尿病并发症早诊早治</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autoSpaceDE w:val="0"/>
        <w:autoSpaceDN/>
        <w:bidi w:val="0"/>
        <w:adjustRightInd/>
        <w:snapToGrid/>
        <w:spacing w:line="580" w:lineRule="exact"/>
        <w:ind w:left="0" w:leftChars="0" w:firstLine="643" w:firstLineChars="200"/>
        <w:jc w:val="both"/>
        <w:textAlignment w:val="auto"/>
        <w:rPr>
          <w:rFonts w:hint="default" w:ascii="Times New Roman" w:hAnsi="Times New Roman" w:eastAsia="宋体" w:cs="Times New Roman"/>
          <w:kern w:val="2"/>
          <w:sz w:val="32"/>
          <w:szCs w:val="32"/>
          <w:lang w:val="en-US" w:eastAsia="zh-CN" w:bidi="ar-SA"/>
        </w:rPr>
      </w:pPr>
      <w:r>
        <w:rPr>
          <w:rFonts w:hint="default" w:ascii="Times New Roman" w:hAnsi="Times New Roman" w:eastAsia="仿宋_GB2312" w:cs="Times New Roman"/>
          <w:b/>
          <w:kern w:val="2"/>
          <w:sz w:val="32"/>
          <w:szCs w:val="32"/>
          <w:highlight w:val="none"/>
          <w:lang w:val="en-US" w:eastAsia="zh-CN" w:bidi="ar-SA"/>
        </w:rPr>
        <w:t>考核指标：</w:t>
      </w:r>
      <w:r>
        <w:rPr>
          <w:rFonts w:hint="default" w:ascii="Times New Roman" w:hAnsi="Times New Roman" w:eastAsia="仿宋_GB2312" w:cs="Times New Roman"/>
          <w:kern w:val="0"/>
          <w:sz w:val="32"/>
          <w:szCs w:val="32"/>
          <w:lang w:val="en-US" w:eastAsia="zh-CN" w:bidi="ar-SA"/>
        </w:rPr>
        <w:t>建立500例包含1-2种糖尿病并发症临床表型特征、检验指标、基因突变及家系分析和代谢组学等相关信息的大数据库，构建1种及以上糖尿病并发症新动物模型，研发1-2个能够准确反映糖尿病并发症发生的新型早期生物标志物并通过多中心临床验证；牵头或参与制订基于新型标志物的糖尿病并发症专家共识或临床管理规范。发表高质量论文3-5篇，授权发明专利1-2项，获得软件著作权1-2项。</w:t>
      </w:r>
      <w:r>
        <w:rPr>
          <w:rFonts w:hint="default" w:ascii="Times New Roman" w:hAnsi="Times New Roman" w:eastAsia="仿宋_GB2312" w:cs="Times New Roman"/>
          <w:kern w:val="0"/>
          <w:sz w:val="32"/>
          <w:szCs w:val="32"/>
          <w:lang w:eastAsia="zh-CN"/>
        </w:rPr>
        <w:t>有关技术</w:t>
      </w:r>
      <w:r>
        <w:rPr>
          <w:rFonts w:hint="default" w:ascii="Times New Roman" w:hAnsi="Times New Roman" w:eastAsia="仿宋_GB2312" w:cs="Times New Roman"/>
          <w:kern w:val="0"/>
          <w:sz w:val="32"/>
          <w:szCs w:val="32"/>
          <w:lang w:val="en-US" w:eastAsia="zh-CN" w:bidi="ar-SA"/>
        </w:rPr>
        <w:t>在江西至少10家医疗机构开展应用示范</w:t>
      </w:r>
      <w:r>
        <w:rPr>
          <w:rFonts w:hint="default" w:ascii="Times New Roman" w:hAnsi="Times New Roman" w:eastAsia="仿宋_GB2312" w:cs="Times New Roman"/>
          <w:bCs/>
          <w:kern w:val="2"/>
          <w:sz w:val="32"/>
          <w:szCs w:val="32"/>
          <w:highlight w:val="none"/>
          <w:lang w:val="en-US" w:eastAsia="zh-CN" w:bidi="ar-SA"/>
        </w:rPr>
        <w:t>。</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中医药在自身免疫性疾病危重并发症中的应用研究</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bCs/>
          <w:sz w:val="32"/>
          <w:szCs w:val="32"/>
          <w:highlight w:val="none"/>
        </w:rPr>
        <w:t>针对</w:t>
      </w:r>
      <w:r>
        <w:rPr>
          <w:rFonts w:hint="default" w:ascii="Times New Roman" w:hAnsi="Times New Roman" w:eastAsia="仿宋_GB2312" w:cs="Times New Roman"/>
          <w:color w:val="000000"/>
          <w:kern w:val="0"/>
          <w:sz w:val="32"/>
          <w:szCs w:val="32"/>
          <w:lang w:bidi="ar"/>
        </w:rPr>
        <w:t>重大自身免疫性疾病（AID）如类风湿性关节炎、血管炎、系统性红斑狼疮等疾病中的肺肾损伤或功能障碍，建立长期随访队列。研究其中医证候特征和演变规律，验证中医治疗方案的临床疗效，探索其作用机制，建立标准的中医诊疗技术规范或专家共识</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kern w:val="0"/>
          <w:sz w:val="32"/>
          <w:szCs w:val="32"/>
        </w:rPr>
        <w:t>建立不少于500例的AID重要脏器损伤患者长期随访队列数据，优化并确定1个及以上中医治疗方案，形成1-2项中医临床诊疗方案或专家共识，授权发明专利1项以上，发表高质量学术论文3-5篇。</w:t>
      </w:r>
      <w:r>
        <w:rPr>
          <w:rFonts w:hint="default" w:ascii="Times New Roman" w:hAnsi="Times New Roman" w:eastAsia="仿宋_GB2312" w:cs="Times New Roman"/>
          <w:kern w:val="0"/>
          <w:sz w:val="32"/>
          <w:szCs w:val="32"/>
          <w:lang w:eastAsia="zh-CN"/>
        </w:rPr>
        <w:t>有关技术</w:t>
      </w:r>
      <w:r>
        <w:rPr>
          <w:rFonts w:hint="default" w:ascii="Times New Roman" w:hAnsi="Times New Roman" w:eastAsia="仿宋_GB2312" w:cs="Times New Roman"/>
          <w:kern w:val="0"/>
          <w:sz w:val="32"/>
          <w:szCs w:val="32"/>
        </w:rPr>
        <w:t>在</w:t>
      </w:r>
      <w:r>
        <w:rPr>
          <w:rFonts w:hint="default" w:ascii="Times New Roman" w:hAnsi="Times New Roman" w:eastAsia="仿宋_GB2312" w:cs="Times New Roman"/>
          <w:kern w:val="0"/>
          <w:sz w:val="32"/>
          <w:szCs w:val="32"/>
          <w:lang w:eastAsia="zh-CN"/>
        </w:rPr>
        <w:t>江西</w:t>
      </w:r>
      <w:r>
        <w:rPr>
          <w:rFonts w:hint="default" w:ascii="Times New Roman" w:hAnsi="Times New Roman" w:eastAsia="仿宋_GB2312" w:cs="Times New Roman"/>
          <w:kern w:val="0"/>
          <w:sz w:val="32"/>
          <w:szCs w:val="32"/>
        </w:rPr>
        <w:t>至少10家医疗机构开展应用示范</w:t>
      </w:r>
      <w:r>
        <w:rPr>
          <w:rFonts w:hint="default" w:ascii="Times New Roman" w:hAnsi="Times New Roman" w:eastAsia="仿宋_GB2312" w:cs="Times New Roman"/>
          <w:bCs/>
          <w:sz w:val="32"/>
          <w:szCs w:val="32"/>
          <w:highlight w:val="none"/>
        </w:rPr>
        <w:t>。</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睡眠障碍致认知损害患者多模态影像评价体系关键技术及应用研究</w:t>
      </w:r>
      <w:r>
        <w:rPr>
          <w:rFonts w:hint="default" w:ascii="Times New Roman" w:hAnsi="Times New Roman" w:eastAsia="仿宋_GB2312" w:cs="Times New Roman"/>
          <w:b/>
          <w:bCs/>
          <w:sz w:val="32"/>
          <w:szCs w:val="32"/>
          <w:highlight w:val="none"/>
          <w:lang w:eastAsia="zh-CN"/>
        </w:rPr>
        <w:t>（青年科学家项目）</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bCs/>
          <w:sz w:val="32"/>
          <w:szCs w:val="32"/>
          <w:highlight w:val="none"/>
        </w:rPr>
        <w:t>针对</w:t>
      </w:r>
      <w:r>
        <w:rPr>
          <w:rFonts w:hint="default" w:ascii="Times New Roman" w:hAnsi="Times New Roman" w:eastAsia="仿宋_GB2312" w:cs="Times New Roman"/>
          <w:color w:val="000000"/>
          <w:kern w:val="0"/>
          <w:sz w:val="32"/>
          <w:szCs w:val="32"/>
          <w:lang w:bidi="ar"/>
        </w:rPr>
        <w:t>最常见睡眠障碍类型导致认知损害患者缺乏分子影像评价问题，基于大样本患者脑功能磁共振、神经网络、分子影像学等多模态影像数据，建立睡眠障碍患者认知损害的早期预测、分类、疗效评估的神经影像关键技术，筛选可用于早期预警、早期诊断的多模影像生物标记，进一步揭示睡眠障碍脑损害的神经机制，开发并验证一套睡眠障碍认知损害的影像评价体系，进而临床推广应用，为临床诊断与治疗提供新的多模影像评价，提高临床诊疗效果</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kern w:val="0"/>
          <w:sz w:val="32"/>
          <w:szCs w:val="32"/>
        </w:rPr>
        <w:t>以常见睡眠障碍建立不少于1500例脑功能磁共振、神经网络、分子影像学等多模态脑影像数据库，筛选并验证2-3项睡眠障碍认知损害的神经影像标记物；构建基于神经影像的睡眠障碍认知损害的个体化预测和评价模型；阐明睡眠障碍导致认知损害等的神经影像变化机理，发表高质量论文5篇以上，申请专利2-3项，将脑功能磁共振、神经网络、分子影像评价体系在省内外10家以上医院推广应用。</w:t>
      </w:r>
    </w:p>
    <w:p>
      <w:pPr>
        <w:keepNext w:val="0"/>
        <w:keepLines w:val="0"/>
        <w:pageBreakBefore w:val="0"/>
        <w:widowControl w:val="0"/>
        <w:numPr>
          <w:ilvl w:val="0"/>
          <w:numId w:val="1"/>
        </w:numPr>
        <w:kinsoku/>
        <w:wordWrap/>
        <w:overflowPunct/>
        <w:topLinePunct/>
        <w:autoSpaceDE w:val="0"/>
        <w:autoSpaceDN/>
        <w:bidi w:val="0"/>
        <w:adjustRightInd/>
        <w:snapToGrid/>
        <w:spacing w:line="580" w:lineRule="exact"/>
        <w:ind w:left="0" w:leftChars="0" w:firstLine="643" w:firstLineChars="200"/>
        <w:jc w:val="both"/>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宫颈病变精准筛查新技术研发及应用</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研究内容：</w:t>
      </w:r>
      <w:r>
        <w:rPr>
          <w:rFonts w:hint="default" w:ascii="Times New Roman" w:hAnsi="Times New Roman" w:eastAsia="仿宋_GB2312" w:cs="Times New Roman"/>
          <w:kern w:val="0"/>
          <w:sz w:val="32"/>
          <w:szCs w:val="32"/>
        </w:rPr>
        <w:t>采用大样本的高通量多组学技术，阐释</w:t>
      </w:r>
      <w:r>
        <w:rPr>
          <w:rFonts w:hint="default" w:ascii="Times New Roman" w:hAnsi="Times New Roman" w:eastAsia="仿宋_GB2312" w:cs="Times New Roman"/>
          <w:kern w:val="0"/>
          <w:sz w:val="32"/>
          <w:szCs w:val="32"/>
          <w:lang w:eastAsia="zh-CN"/>
        </w:rPr>
        <w:t>江西</w:t>
      </w:r>
      <w:r>
        <w:rPr>
          <w:rFonts w:hint="default" w:ascii="Times New Roman" w:hAnsi="Times New Roman" w:eastAsia="仿宋_GB2312" w:cs="Times New Roman"/>
          <w:kern w:val="0"/>
          <w:sz w:val="32"/>
          <w:szCs w:val="32"/>
        </w:rPr>
        <w:t>省不同宫颈高危HPV型别感染的具体作用方式和机制，以宫颈高危型HPV感染作为着眼点，深入阐明宫颈高危型HPV感染的生物学特征的变化，甄别不同宫颈高危型HPV感染的靶点和关键致病基因；探索HPV疫苗接种后人群的病毒感染规律，开展</w:t>
      </w:r>
      <w:r>
        <w:rPr>
          <w:rFonts w:hint="default" w:ascii="Times New Roman" w:hAnsi="Times New Roman" w:eastAsia="仿宋_GB2312" w:cs="Times New Roman"/>
          <w:kern w:val="0"/>
          <w:sz w:val="32"/>
          <w:szCs w:val="32"/>
          <w:lang w:eastAsia="zh-CN"/>
        </w:rPr>
        <w:t>江西</w:t>
      </w:r>
      <w:r>
        <w:rPr>
          <w:rFonts w:hint="default" w:ascii="Times New Roman" w:hAnsi="Times New Roman" w:eastAsia="仿宋_GB2312" w:cs="Times New Roman"/>
          <w:kern w:val="0"/>
          <w:sz w:val="32"/>
          <w:szCs w:val="32"/>
        </w:rPr>
        <w:t>省女性HPV疫苗接种后感染型别的观察研究；利用AI人工智能辅助诊断技术提高临床筛查效率，探索新技术在高危HPV感染和宫颈病变筛查中的应用。</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考核指标：</w:t>
      </w:r>
      <w:r>
        <w:rPr>
          <w:rFonts w:hint="default" w:ascii="Times New Roman" w:hAnsi="Times New Roman" w:eastAsia="仿宋_GB2312" w:cs="Times New Roman"/>
          <w:kern w:val="0"/>
          <w:sz w:val="32"/>
          <w:szCs w:val="32"/>
        </w:rPr>
        <w:t>发现2-3个HPV持续感染的靶点或关键基因；研发1种基于检测高危HPV定量为基础的宫颈病变精准筛查的检测手段及应用临床的检测试剂盒；建立可供筛选高危人群的HPV感染恶性转化的新的精准靶向检测手段及治疗策略；至少完成1个大规模人群样本（不少于10万人）的新辅助筛查诊断技术的临床评价，包括人工智能辅助宫颈液基细胞病理阅片诊断技术和晚期宫颈癌循环肿瘤细胞（间质和上皮特性）分型检测技术；相关筛查技术体系及模式获得行业主管部门认可，并在</w:t>
      </w:r>
      <w:r>
        <w:rPr>
          <w:rFonts w:hint="default" w:ascii="Times New Roman" w:hAnsi="Times New Roman" w:eastAsia="仿宋_GB2312" w:cs="Times New Roman"/>
          <w:kern w:val="0"/>
          <w:sz w:val="32"/>
          <w:szCs w:val="32"/>
          <w:lang w:eastAsia="zh-CN"/>
        </w:rPr>
        <w:t>江西</w:t>
      </w:r>
      <w:r>
        <w:rPr>
          <w:rFonts w:hint="default" w:ascii="Times New Roman" w:hAnsi="Times New Roman" w:eastAsia="仿宋_GB2312" w:cs="Times New Roman"/>
          <w:kern w:val="0"/>
          <w:sz w:val="32"/>
          <w:szCs w:val="32"/>
        </w:rPr>
        <w:t>省至少10家医疗机构开展应用示范。</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恶性肿瘤淋巴结转移诊疗关键技术研究及应用</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
          <w:kern w:val="2"/>
          <w:sz w:val="32"/>
          <w:szCs w:val="32"/>
          <w:highlight w:val="none"/>
          <w:lang w:val="en-US" w:eastAsia="zh-CN" w:bidi="ar-SA"/>
        </w:rPr>
        <w:t>研究内容：</w:t>
      </w:r>
      <w:r>
        <w:rPr>
          <w:rFonts w:hint="default" w:ascii="Times New Roman" w:hAnsi="Times New Roman" w:eastAsia="仿宋_GB2312" w:cs="Times New Roman"/>
          <w:color w:val="000000"/>
          <w:kern w:val="0"/>
          <w:sz w:val="32"/>
          <w:szCs w:val="32"/>
          <w:lang w:val="en-US" w:eastAsia="zh-CN" w:bidi="ar"/>
        </w:rPr>
        <w:t>针对江西高发恶性肿瘤淋巴结转移影响肿瘤患者生存期问题，通过转录组、蛋白质组等多组学分析技术，通过动物模型和真实世界肿瘤患者评估验证，筛选可用于早期诊断肿瘤淋巴结转移的有效生物标志物；研究转移淋巴结微环境改变和重塑的关键因子及相关机制；构建预测肿瘤淋巴结转移评分系统，提出干预淋巴结转移的新策略，并应用于临床肿瘤转移防治</w:t>
      </w:r>
      <w:r>
        <w:rPr>
          <w:rFonts w:hint="default" w:ascii="Times New Roman" w:hAnsi="Times New Roman" w:eastAsia="仿宋_GB2312" w:cs="Times New Roman"/>
          <w:bCs/>
          <w:kern w:val="2"/>
          <w:sz w:val="32"/>
          <w:szCs w:val="32"/>
          <w:highlight w:val="none"/>
          <w:lang w:val="en-US" w:eastAsia="zh-CN" w:bidi="ar-SA"/>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kern w:val="2"/>
          <w:sz w:val="32"/>
          <w:szCs w:val="32"/>
          <w:highlight w:val="none"/>
          <w:lang w:val="en-US" w:eastAsia="zh-CN" w:bidi="ar-SA"/>
        </w:rPr>
      </w:pPr>
      <w:r>
        <w:rPr>
          <w:rFonts w:hint="default" w:ascii="Times New Roman" w:hAnsi="Times New Roman" w:eastAsia="仿宋_GB2312" w:cs="Times New Roman"/>
          <w:b/>
          <w:kern w:val="2"/>
          <w:sz w:val="32"/>
          <w:szCs w:val="32"/>
          <w:highlight w:val="none"/>
          <w:lang w:val="en-US" w:eastAsia="zh-CN" w:bidi="ar-SA"/>
        </w:rPr>
        <w:t>考核指标：</w:t>
      </w:r>
      <w:r>
        <w:rPr>
          <w:rFonts w:hint="default" w:ascii="Times New Roman" w:hAnsi="Times New Roman" w:eastAsia="仿宋_GB2312" w:cs="Times New Roman"/>
          <w:kern w:val="0"/>
          <w:sz w:val="32"/>
          <w:szCs w:val="32"/>
          <w:lang w:val="en-US" w:eastAsia="zh-CN" w:bidi="ar-SA"/>
        </w:rPr>
        <w:t>筛选出2-3个早期预测肿瘤淋巴结转移关键生物标志物，研发并验证试剂盒1个；揭示肿瘤淋巴结转移前后的微环境变化，构建预测淋巴结转移评分体系1个；开发干预淋巴结转移的1-3种分子靶点，并完成临床前研究；建立不少于1000例患者淋巴结转移的数据资源库；发表高质量论文2-3篇，申请发明专利1-2项。有关</w:t>
      </w:r>
      <w:r>
        <w:rPr>
          <w:rFonts w:hint="default" w:ascii="Times New Roman" w:hAnsi="Times New Roman" w:eastAsia="仿宋_GB2312" w:cs="Times New Roman"/>
          <w:kern w:val="0"/>
          <w:sz w:val="32"/>
          <w:szCs w:val="32"/>
          <w:lang w:eastAsia="zh-CN"/>
        </w:rPr>
        <w:t>技术</w:t>
      </w:r>
      <w:r>
        <w:rPr>
          <w:rFonts w:hint="default" w:ascii="Times New Roman" w:hAnsi="Times New Roman" w:eastAsia="仿宋_GB2312" w:cs="Times New Roman"/>
          <w:kern w:val="0"/>
          <w:sz w:val="32"/>
          <w:szCs w:val="32"/>
          <w:lang w:val="en-US" w:eastAsia="zh-CN" w:bidi="ar-SA"/>
        </w:rPr>
        <w:t>在江西至少10家医疗机构开展应用示范</w:t>
      </w:r>
      <w:r>
        <w:rPr>
          <w:rFonts w:hint="default" w:ascii="Times New Roman" w:hAnsi="Times New Roman" w:eastAsia="仿宋_GB2312" w:cs="Times New Roman"/>
          <w:bCs/>
          <w:kern w:val="2"/>
          <w:sz w:val="32"/>
          <w:szCs w:val="32"/>
          <w:highlight w:val="none"/>
          <w:lang w:val="en-US" w:eastAsia="zh-CN" w:bidi="ar-SA"/>
        </w:rPr>
        <w:t>。</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老年期痴呆评估和神经调控治疗关键技术研究</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color w:val="000000"/>
          <w:kern w:val="0"/>
          <w:sz w:val="32"/>
          <w:szCs w:val="32"/>
          <w:lang w:bidi="ar"/>
        </w:rPr>
        <w:t>观察老年期不同类型痴呆及认知障碍患者，整合老年人认知障碍和行为数据，建立老年人认知障碍的评估指标体系与神经调控关键技术。采集老年人群的脑成像和行为数据，研制基于多模态数据的老年人认知障碍测算工具，构建多维度的老年人认知障碍预警体系；研究神经调控干预手段对老年人认知障碍的预防和康复作用，建立老年人认知障碍的神经调控技术体系</w:t>
      </w:r>
      <w:r>
        <w:rPr>
          <w:rFonts w:hint="default" w:ascii="Times New Roman" w:hAnsi="Times New Roman" w:eastAsia="仿宋_GB2312" w:cs="Times New Roman"/>
          <w:bCs/>
          <w:sz w:val="32"/>
          <w:szCs w:val="32"/>
          <w:highlight w:val="none"/>
        </w:rPr>
        <w:t>。</w:t>
      </w:r>
    </w:p>
    <w:p>
      <w:pPr>
        <w:keepNext w:val="0"/>
        <w:keepLines w:val="0"/>
        <w:pageBreakBefore w:val="0"/>
        <w:widowControl w:val="0"/>
        <w:numPr>
          <w:ilvl w:val="0"/>
          <w:numId w:val="0"/>
        </w:numPr>
        <w:tabs>
          <w:tab w:val="left" w:pos="0"/>
          <w:tab w:val="left" w:pos="922"/>
        </w:tabs>
        <w:kinsoku/>
        <w:wordWrap/>
        <w:overflowPunct/>
        <w:topLinePunct/>
        <w:autoSpaceDE w:val="0"/>
        <w:autoSpaceDN/>
        <w:bidi w:val="0"/>
        <w:adjustRightInd/>
        <w:snapToGrid/>
        <w:spacing w:line="580" w:lineRule="exact"/>
        <w:ind w:left="0" w:leftChars="0" w:firstLine="643"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kern w:val="0"/>
          <w:sz w:val="32"/>
          <w:szCs w:val="32"/>
        </w:rPr>
        <w:t>建立不少于500例的老年期痴呆及认知障碍患者队列；基于人工智能技术，建立多模态数据的老年人认知障碍评测工具1套；建立老年人认知障碍神经调控关键技术体系1-2项；获得发明专利1-2项、软件著作权1-2项，制定行业标准1-2项。</w:t>
      </w:r>
      <w:r>
        <w:rPr>
          <w:rFonts w:hint="default" w:ascii="Times New Roman" w:hAnsi="Times New Roman" w:eastAsia="仿宋_GB2312" w:cs="Times New Roman"/>
          <w:kern w:val="0"/>
          <w:sz w:val="32"/>
          <w:szCs w:val="32"/>
          <w:lang w:val="en-US" w:eastAsia="zh-CN" w:bidi="ar-SA"/>
        </w:rPr>
        <w:t>有关</w:t>
      </w:r>
      <w:r>
        <w:rPr>
          <w:rFonts w:hint="default" w:ascii="Times New Roman" w:hAnsi="Times New Roman" w:eastAsia="仿宋_GB2312" w:cs="Times New Roman"/>
          <w:kern w:val="0"/>
          <w:sz w:val="32"/>
          <w:szCs w:val="32"/>
          <w:lang w:eastAsia="zh-CN"/>
        </w:rPr>
        <w:t>技术</w:t>
      </w:r>
      <w:r>
        <w:rPr>
          <w:rFonts w:hint="default" w:ascii="Times New Roman" w:hAnsi="Times New Roman" w:eastAsia="仿宋_GB2312" w:cs="Times New Roman"/>
          <w:kern w:val="0"/>
          <w:sz w:val="32"/>
          <w:szCs w:val="32"/>
        </w:rPr>
        <w:t>在</w:t>
      </w:r>
      <w:r>
        <w:rPr>
          <w:rFonts w:hint="default" w:ascii="Times New Roman" w:hAnsi="Times New Roman" w:eastAsia="仿宋_GB2312" w:cs="Times New Roman"/>
          <w:kern w:val="0"/>
          <w:sz w:val="32"/>
          <w:szCs w:val="32"/>
          <w:lang w:eastAsia="zh-CN"/>
        </w:rPr>
        <w:t>江西</w:t>
      </w:r>
      <w:r>
        <w:rPr>
          <w:rFonts w:hint="default" w:ascii="Times New Roman" w:hAnsi="Times New Roman" w:eastAsia="仿宋_GB2312" w:cs="Times New Roman"/>
          <w:kern w:val="0"/>
          <w:sz w:val="32"/>
          <w:szCs w:val="32"/>
        </w:rPr>
        <w:t>至少10家医疗机构开展应用示范</w:t>
      </w:r>
      <w:r>
        <w:rPr>
          <w:rFonts w:hint="default" w:ascii="Times New Roman" w:hAnsi="Times New Roman" w:eastAsia="仿宋_GB2312" w:cs="Times New Roman"/>
          <w:bCs/>
          <w:sz w:val="32"/>
          <w:szCs w:val="32"/>
          <w:highlight w:val="none"/>
        </w:rPr>
        <w:t>。</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同步心源多模态信号的心脏监测关键技术研发</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color w:val="000000"/>
          <w:kern w:val="0"/>
          <w:sz w:val="32"/>
          <w:szCs w:val="32"/>
          <w:lang w:bidi="ar"/>
        </w:rPr>
        <w:t>针对心脏功能早期无创精准监测技术需求，研制心脏音频等心源多模态信号实时同步终端采集设备，同步采集并解析心脏音频等心源多模态信号实时特征；研发基于心脏音频等心源多模态信号分析与诊断的关键技术算法；开发基于互联网、人工智能等新型监测诊断和疗效评估关键技术,实现远程心脏功能监测智能诊断，形成心脏疾病的人机协同诊疗决策优化方案</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3" w:firstLineChars="200"/>
        <w:jc w:val="both"/>
        <w:textAlignment w:val="auto"/>
        <w:rPr>
          <w:rFonts w:hint="default" w:ascii="Times New Roman" w:hAnsi="Times New Roman" w:eastAsia="宋体" w:cs="Times New Roman"/>
          <w:sz w:val="32"/>
          <w:szCs w:val="32"/>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kern w:val="0"/>
          <w:sz w:val="32"/>
          <w:szCs w:val="32"/>
        </w:rPr>
        <w:t>研制便携式心源多模态信号实时同步终端采集设备1-2套产品，获得医疗器械证；构建不少于10000例临床病例的同步心源多模态信号诊断模型，实现心脏功能的自动分类、异常检测和病情预测平台；基于互联网远程监测智能诊断，授权发明专利1-2项，获得软件著作权证1-2项，发表文章3-5篇</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autoSpaceDE w:val="0"/>
        <w:autoSpaceDN/>
        <w:bidi w:val="0"/>
        <w:snapToGrid/>
        <w:spacing w:line="580" w:lineRule="exact"/>
        <w:ind w:left="0" w:leftChars="0" w:firstLine="640" w:firstLineChars="200"/>
        <w:jc w:val="both"/>
        <w:textAlignment w:val="auto"/>
        <w:outlineLvl w:val="1"/>
        <w:rPr>
          <w:rFonts w:hint="default" w:ascii="Times New Roman" w:hAnsi="Times New Roman" w:eastAsia="黑体" w:cs="Times New Roman"/>
          <w:b w:val="0"/>
          <w:bCs w:val="0"/>
          <w:sz w:val="32"/>
          <w:szCs w:val="32"/>
          <w:highlight w:val="none"/>
        </w:rPr>
      </w:pPr>
      <w:r>
        <w:rPr>
          <w:rFonts w:hint="default" w:ascii="Times New Roman" w:hAnsi="Times New Roman" w:eastAsia="黑体" w:cs="Times New Roman"/>
          <w:b w:val="0"/>
          <w:bCs w:val="0"/>
          <w:sz w:val="32"/>
          <w:szCs w:val="32"/>
          <w:highlight w:val="none"/>
          <w:lang w:eastAsia="zh-Hans"/>
        </w:rPr>
        <w:t>四</w:t>
      </w:r>
      <w:r>
        <w:rPr>
          <w:rFonts w:hint="default" w:ascii="Times New Roman" w:hAnsi="Times New Roman" w:eastAsia="黑体" w:cs="Times New Roman"/>
          <w:b w:val="0"/>
          <w:bCs w:val="0"/>
          <w:sz w:val="32"/>
          <w:szCs w:val="32"/>
          <w:highlight w:val="none"/>
        </w:rPr>
        <w:t>、</w:t>
      </w:r>
      <w:r>
        <w:rPr>
          <w:rFonts w:hint="default" w:ascii="Times New Roman" w:hAnsi="Times New Roman" w:eastAsia="黑体" w:cs="Times New Roman"/>
          <w:b w:val="0"/>
          <w:bCs w:val="0"/>
          <w:sz w:val="32"/>
          <w:szCs w:val="32"/>
          <w:highlight w:val="none"/>
          <w:lang w:eastAsia="zh-Hans"/>
        </w:rPr>
        <w:t>公共安全</w:t>
      </w:r>
      <w:r>
        <w:rPr>
          <w:rFonts w:hint="default" w:ascii="Times New Roman" w:hAnsi="Times New Roman" w:eastAsia="黑体" w:cs="Times New Roman"/>
          <w:b w:val="0"/>
          <w:bCs w:val="0"/>
          <w:sz w:val="32"/>
          <w:szCs w:val="32"/>
          <w:highlight w:val="none"/>
        </w:rPr>
        <w:t>与</w:t>
      </w:r>
      <w:r>
        <w:rPr>
          <w:rFonts w:hint="default" w:ascii="Times New Roman" w:hAnsi="Times New Roman" w:eastAsia="黑体" w:cs="Times New Roman"/>
          <w:b w:val="0"/>
          <w:bCs w:val="0"/>
          <w:sz w:val="32"/>
          <w:szCs w:val="32"/>
          <w:highlight w:val="none"/>
          <w:lang w:eastAsia="zh-CN"/>
        </w:rPr>
        <w:t>城镇化建设等</w:t>
      </w:r>
      <w:r>
        <w:rPr>
          <w:rFonts w:hint="default" w:ascii="Times New Roman" w:hAnsi="Times New Roman" w:eastAsia="黑体" w:cs="Times New Roman"/>
          <w:b w:val="0"/>
          <w:bCs w:val="0"/>
          <w:sz w:val="32"/>
          <w:szCs w:val="32"/>
          <w:highlight w:val="none"/>
        </w:rPr>
        <w:t>领域</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环境友好型危险化学品泄漏事故应急处置关键技术与装备研究</w:t>
      </w:r>
    </w:p>
    <w:p>
      <w:pPr>
        <w:keepNext w:val="0"/>
        <w:keepLines w:val="0"/>
        <w:pageBreakBefore w:val="0"/>
        <w:widowControl w:val="0"/>
        <w:kinsoku/>
        <w:wordWrap/>
        <w:overflowPunct/>
        <w:topLinePunct/>
        <w:autoSpaceDE w:val="0"/>
        <w:autoSpaceDN/>
        <w:bidi w:val="0"/>
        <w:adjustRightInd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bCs/>
          <w:sz w:val="32"/>
          <w:szCs w:val="32"/>
          <w:highlight w:val="none"/>
        </w:rPr>
        <w:t>针对</w:t>
      </w:r>
      <w:r>
        <w:rPr>
          <w:rFonts w:hint="default" w:ascii="Times New Roman" w:hAnsi="Times New Roman" w:eastAsia="仿宋_GB2312" w:cs="Times New Roman"/>
          <w:bCs/>
          <w:sz w:val="32"/>
          <w:szCs w:val="32"/>
        </w:rPr>
        <w:t>典型易挥发危险化学品（如苯、甲苯等）泄漏的传统应急处置技术存在资源不可再生、吸附倍率低、阻隔性差等问题，研发快速成型、高吸收容量、持续降温等环境友好型的生物基凝胶应急处置关键技术与装备；针对典型非易挥发危险化学品（如原油、重油等）泄漏的传统应急处置存在资源不可再生、热稳定性差、易燃难题，研发耐高温、难燃等环境友好型的生物基泡沫应急处置关键技术与装备</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autoSpaceDE w:val="0"/>
        <w:autoSpaceDN/>
        <w:bidi w:val="0"/>
        <w:adjustRightInd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kern w:val="0"/>
          <w:sz w:val="32"/>
          <w:szCs w:val="32"/>
        </w:rPr>
        <w:t>研发环境友好型危险化学品泄漏事故应急处置关键材料2种：生物基凝胶材料的成型时间≤1 min，吸附倍率≥50倍，比水的降温效率提升30%以上，土壤降解率≥90%；生物基泡沫材料的热分解温度≥240℃，氧指数≥26%，吸附倍率≥20倍，土壤降解率≥90%。研发环境友好型危险化学品泄漏事故应急处置快速制备装置1套：快速制备装置对生物基凝胶材料和生物基泡沫材料的生产速率均≥0.2 m</w:t>
      </w:r>
      <w:r>
        <w:rPr>
          <w:rFonts w:hint="default" w:ascii="Times New Roman" w:hAnsi="Times New Roman" w:eastAsia="仿宋_GB2312" w:cs="Times New Roman"/>
          <w:kern w:val="0"/>
          <w:sz w:val="32"/>
          <w:szCs w:val="32"/>
          <w:vertAlign w:val="superscript"/>
        </w:rPr>
        <w:t>3</w:t>
      </w:r>
      <w:r>
        <w:rPr>
          <w:rFonts w:hint="default" w:ascii="Times New Roman" w:hAnsi="Times New Roman" w:eastAsia="仿宋_GB2312" w:cs="Times New Roman"/>
          <w:kern w:val="0"/>
          <w:sz w:val="32"/>
          <w:szCs w:val="32"/>
        </w:rPr>
        <w:t>/min，生物基凝胶材料浓缩液与水的混合比≥2%。研发环境友好型危险化学品泄漏事故应急处置精准定位发射装置1套：精准定位发射装置对生物基凝胶材料的发射压力0.6 MPa，发射流量20～30 L/s，射程≥30 m，定位圆周误差≤1 m，水平回转角度-90°</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 xml:space="preserve"> +90°，俯仰角度+30°</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 xml:space="preserve"> +75°；精准定位发射装置对生物基泡沫材料的发射压力0.4～0.6 MPa，发射流量2～4 L/s。发表高水平研究论文不少于3篇，受理发明专利不少于5项</w:t>
      </w:r>
      <w:r>
        <w:rPr>
          <w:rFonts w:hint="default" w:ascii="Times New Roman" w:hAnsi="Times New Roman" w:eastAsia="仿宋_GB2312" w:cs="Times New Roman"/>
          <w:bCs/>
          <w:sz w:val="32"/>
          <w:szCs w:val="32"/>
          <w:highlight w:val="none"/>
        </w:rPr>
        <w:t>。</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食源性致病菌控制关键技术研究及应用示范</w:t>
      </w:r>
      <w:r>
        <w:rPr>
          <w:rFonts w:hint="default" w:ascii="Times New Roman" w:hAnsi="Times New Roman" w:eastAsia="仿宋_GB2312" w:cs="Times New Roman"/>
          <w:b/>
          <w:bCs/>
          <w:sz w:val="32"/>
          <w:szCs w:val="32"/>
          <w:highlight w:val="none"/>
          <w:lang w:eastAsia="zh-CN"/>
        </w:rPr>
        <w:t>（青年科学家项目）</w:t>
      </w:r>
    </w:p>
    <w:p>
      <w:pPr>
        <w:keepNext w:val="0"/>
        <w:keepLines w:val="0"/>
        <w:pageBreakBefore w:val="0"/>
        <w:widowControl w:val="0"/>
        <w:kinsoku/>
        <w:wordWrap/>
        <w:overflowPunct/>
        <w:topLinePunct/>
        <w:autoSpaceDE w:val="0"/>
        <w:autoSpaceDN/>
        <w:bidi w:val="0"/>
        <w:adjustRightInd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bCs/>
          <w:sz w:val="32"/>
          <w:szCs w:val="32"/>
          <w:highlight w:val="none"/>
        </w:rPr>
        <w:t>针对</w:t>
      </w:r>
      <w:r>
        <w:rPr>
          <w:rFonts w:hint="default" w:ascii="Times New Roman" w:hAnsi="Times New Roman" w:eastAsia="仿宋_GB2312" w:cs="Times New Roman"/>
          <w:bCs/>
          <w:sz w:val="32"/>
          <w:szCs w:val="32"/>
          <w:highlight w:val="none"/>
          <w:lang w:eastAsia="zh-CN"/>
        </w:rPr>
        <w:t>江西</w:t>
      </w:r>
      <w:r>
        <w:rPr>
          <w:rFonts w:hint="default" w:ascii="Times New Roman" w:hAnsi="Times New Roman" w:eastAsia="仿宋_GB2312" w:cs="Times New Roman"/>
          <w:bCs/>
          <w:sz w:val="32"/>
          <w:szCs w:val="32"/>
        </w:rPr>
        <w:t>省特色农产品、优势食品以及餐饮食品中食源性致病菌污染等问题，开展新型无机抗菌剂（绿色合成法制备的具有更良好生物相容性的纳米银、纳米氧化锌、金属多酚材料等）及天然化合物抑菌剂的挖掘、分析、组合与防治多环节控制及低温等离子体消杀技术研究。研究食源性致病菌生物膜形成、菌群多样性及时空动态演变特征及机理，研究低温等离子体消杀食源性致病菌作用机理；研发天然化合物抗菌剂的高通量筛选方法;研究新型无机抗菌剂抑制食源性致病菌生物膜形成及清除成熟生物膜的方法；研究新型无机抗菌剂和有机生物抗菌制剂之间的协同抗菌组合；研究低温等离子体消杀技术及其工艺优化，形成从种养殖到加工全链条的食源性致病菌关键控制技术，并开展应用示范</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w:t>
      </w:r>
    </w:p>
    <w:p>
      <w:pPr>
        <w:keepNext w:val="0"/>
        <w:keepLines w:val="0"/>
        <w:pageBreakBefore w:val="0"/>
        <w:widowControl w:val="0"/>
        <w:kinsoku/>
        <w:wordWrap/>
        <w:overflowPunct/>
        <w:topLinePunct/>
        <w:autoSpaceDE w:val="0"/>
        <w:autoSpaceDN/>
        <w:bidi w:val="0"/>
        <w:adjustRightInd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bCs/>
          <w:sz w:val="32"/>
          <w:szCs w:val="32"/>
        </w:rPr>
        <w:t>构建3-5种典型食源性致病菌天然化合物抗菌剂数据库1套;建立低温等离子体消杀技术，优化消杀工艺参数，阐明作用机理；研制有效防治3-5种典型致病菌感染的新型无机抗菌剂及有机生物抗菌制剂组合5-8个，抗菌效率不低于99.9%;发表高水平论文不少于5篇，受理发明专利不少于5项，建立应用示范点不少于1个</w:t>
      </w:r>
      <w:r>
        <w:rPr>
          <w:rFonts w:hint="default" w:ascii="Times New Roman" w:hAnsi="Times New Roman" w:eastAsia="仿宋_GB2312" w:cs="Times New Roman"/>
          <w:bCs/>
          <w:sz w:val="32"/>
          <w:szCs w:val="32"/>
          <w:highlight w:val="none"/>
        </w:rPr>
        <w:t>。</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低空经济气象安全保障关键技术研究与应用示范</w:t>
      </w:r>
    </w:p>
    <w:p>
      <w:pPr>
        <w:keepNext w:val="0"/>
        <w:keepLines w:val="0"/>
        <w:pageBreakBefore w:val="0"/>
        <w:widowControl w:val="0"/>
        <w:kinsoku/>
        <w:wordWrap/>
        <w:overflowPunct/>
        <w:topLinePunct/>
        <w:autoSpaceDE w:val="0"/>
        <w:autoSpaceDN/>
        <w:bidi w:val="0"/>
        <w:adjustRightInd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bCs/>
          <w:sz w:val="32"/>
          <w:szCs w:val="32"/>
          <w:highlight w:val="none"/>
        </w:rPr>
        <w:t>针对</w:t>
      </w:r>
      <w:r>
        <w:rPr>
          <w:rFonts w:hint="default" w:ascii="Times New Roman" w:hAnsi="Times New Roman" w:eastAsia="仿宋_GB2312" w:cs="Times New Roman"/>
          <w:bCs/>
          <w:sz w:val="32"/>
          <w:szCs w:val="32"/>
        </w:rPr>
        <w:t>江西省低空经济发展中的气象安全保障需求，基于区域高分辨率数值天气预报模式，研究低空分层精细化的关键气象要素预报技术；基于多源观测资料，结合深度学习技术，研究结冰、飞机颠簸、能见度等影响低空航行安全的分类别、分强度的危险天气预警预报关键技术；分析低空航行安全风险致灾临界阈值，开发高时空分辨率的低空航行气象风险预警产品；基于互联网DMZ区数据同步技术和基于位置的精细化预警信息服务技术，开发影响低空飞行的危险天气智能化预警终端，为保障低空航行安全提供支撑</w:t>
      </w:r>
      <w:r>
        <w:rPr>
          <w:rFonts w:hint="default" w:ascii="Times New Roman" w:hAnsi="Times New Roman" w:eastAsia="仿宋_GB2312" w:cs="Times New Roman"/>
          <w:bCs/>
          <w:sz w:val="32"/>
          <w:szCs w:val="32"/>
          <w:highlight w:val="none"/>
        </w:rPr>
        <w:t>。</w:t>
      </w:r>
    </w:p>
    <w:p>
      <w:pPr>
        <w:keepNext w:val="0"/>
        <w:keepLines w:val="0"/>
        <w:pageBreakBefore w:val="0"/>
        <w:widowControl w:val="0"/>
        <w:numPr>
          <w:ilvl w:val="0"/>
          <w:numId w:val="0"/>
        </w:numPr>
        <w:kinsoku/>
        <w:wordWrap/>
        <w:overflowPunct/>
        <w:topLinePunct/>
        <w:autoSpaceDE w:val="0"/>
        <w:autoSpaceDN/>
        <w:bidi w:val="0"/>
        <w:spacing w:line="580" w:lineRule="exact"/>
        <w:ind w:left="0" w:leftChars="0" w:firstLine="643" w:firstLineChars="200"/>
        <w:jc w:val="both"/>
        <w:textAlignment w:val="center"/>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bCs/>
          <w:sz w:val="32"/>
          <w:szCs w:val="32"/>
          <w:highlight w:val="none"/>
        </w:rPr>
        <w:t>研发</w:t>
      </w:r>
      <w:r>
        <w:rPr>
          <w:rFonts w:hint="default" w:ascii="Times New Roman" w:hAnsi="Times New Roman" w:eastAsia="仿宋_GB2312" w:cs="Times New Roman"/>
          <w:kern w:val="0"/>
          <w:sz w:val="32"/>
          <w:szCs w:val="32"/>
        </w:rPr>
        <w:t>低空航行气象预报系统1套；系统水平分辨率≤1 km、垂直分辨率≤100 m，0-3h内的时间精度为分钟级，3-72 h内的时间精度为小时级；航线上危险天气的识别命中率达80%以上，预警时间提前量达45 min以上；建立智能化预警终端1套，并在机场开展应用示范；发表高水平论文不少于5篇，申请国家（或地方）标准2项，登记软件著作权不少于4项，申请受理发明专利不少于2项</w:t>
      </w:r>
      <w:r>
        <w:rPr>
          <w:rFonts w:hint="default" w:ascii="Times New Roman" w:hAnsi="Times New Roman" w:eastAsia="仿宋_GB2312" w:cs="Times New Roman"/>
          <w:bCs/>
          <w:sz w:val="32"/>
          <w:szCs w:val="32"/>
          <w:highlight w:val="none"/>
        </w:rPr>
        <w:t>。</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pacing w:val="-11"/>
          <w:sz w:val="32"/>
          <w:szCs w:val="32"/>
          <w:highlight w:val="none"/>
        </w:rPr>
      </w:pPr>
      <w:r>
        <w:rPr>
          <w:rFonts w:hint="default" w:ascii="Times New Roman" w:hAnsi="Times New Roman" w:eastAsia="仿宋_GB2312" w:cs="Times New Roman"/>
          <w:b/>
          <w:bCs/>
          <w:sz w:val="32"/>
          <w:szCs w:val="32"/>
          <w:highlight w:val="none"/>
        </w:rPr>
        <w:t>古陶</w:t>
      </w:r>
      <w:r>
        <w:rPr>
          <w:rFonts w:hint="default" w:ascii="Times New Roman" w:hAnsi="Times New Roman" w:eastAsia="仿宋_GB2312" w:cs="Times New Roman"/>
          <w:b/>
          <w:bCs/>
          <w:spacing w:val="-11"/>
          <w:sz w:val="32"/>
          <w:szCs w:val="32"/>
          <w:highlight w:val="none"/>
        </w:rPr>
        <w:t>瓷基因库建立关键技术与应用示范</w:t>
      </w:r>
      <w:r>
        <w:rPr>
          <w:rFonts w:hint="default" w:ascii="Times New Roman" w:hAnsi="Times New Roman" w:eastAsia="仿宋_GB2312" w:cs="Times New Roman"/>
          <w:b/>
          <w:bCs/>
          <w:spacing w:val="-11"/>
          <w:sz w:val="32"/>
          <w:szCs w:val="32"/>
          <w:highlight w:val="none"/>
          <w:lang w:eastAsia="zh-CN"/>
        </w:rPr>
        <w:t>（青年科学家项目）</w:t>
      </w:r>
    </w:p>
    <w:p>
      <w:pPr>
        <w:keepNext w:val="0"/>
        <w:keepLines w:val="0"/>
        <w:pageBreakBefore w:val="0"/>
        <w:widowControl w:val="0"/>
        <w:kinsoku/>
        <w:wordWrap/>
        <w:overflowPunct/>
        <w:topLinePunct/>
        <w:autoSpaceDE w:val="0"/>
        <w:autoSpaceDN/>
        <w:bidi w:val="0"/>
        <w:adjustRightInd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bCs/>
          <w:sz w:val="32"/>
          <w:szCs w:val="32"/>
          <w:highlight w:val="none"/>
        </w:rPr>
        <w:t>针对</w:t>
      </w:r>
      <w:r>
        <w:rPr>
          <w:rFonts w:hint="default" w:ascii="Times New Roman" w:hAnsi="Times New Roman" w:eastAsia="仿宋_GB2312" w:cs="Times New Roman"/>
          <w:color w:val="000000"/>
          <w:kern w:val="0"/>
          <w:sz w:val="32"/>
          <w:szCs w:val="32"/>
          <w:lang w:bidi="ar"/>
        </w:rPr>
        <w:t>出土海量陶瓷标本的保存、研究和应用的难题痛点，研究利用电感耦合等离子体质谱仪、能量色散X射线荧光光谱仪、共聚焦激光拉曼光谱仪、显微结构分析等前沿科技考古新技术及分析方法，探究不同标本的考古信息、胎料工艺、釉料工艺、成型工艺、装烧工艺、装饰工艺等内容。研究适用于不同研究领域的多种不同物理形态的陶瓷标本制备和存储范式。建立可以推广示范的涵盖实物标本库、信息基因和研究应用范式的古陶瓷基因库，开展古陶瓷基因库在陶瓷历史研究、古陶瓷鉴定、古代陶瓷工艺复原、当代陶瓷文旅等方面的应用研究，制定有关范式，编制线上线下古陶瓷基因库数据管理系统</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autoSpaceDE w:val="0"/>
        <w:autoSpaceDN/>
        <w:bidi w:val="0"/>
        <w:adjustRightInd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kern w:val="0"/>
          <w:sz w:val="32"/>
          <w:szCs w:val="32"/>
        </w:rPr>
        <w:t>采集反映古代陶瓷基因典型性的考古标本和数据，制作一个包括不同地域及窑口的20个品种不少于1000件具有代表性的古陶瓷实物标本库，建立一个1000件不同时期不同品种涵盖考古信息、胎料工艺、釉料工艺、成型工艺、装烧工艺、装饰工艺等古陶瓷基因信息库；研究适用于不同研究领域不少于4种不同物理形态的陶瓷标本制备和存储范式；建立5个不同时期不同品种工艺复原、陶瓷鉴定等基因信息应用的范式；推出不少于5个不同品种基因信息复原产品的文旅应用；建立一个线上线下古陶瓷基因库数据管理系统平台，且录入不少于1万条数据；发表高水平论文不少于6篇，申请受理发明专利不少于2项</w:t>
      </w:r>
      <w:r>
        <w:rPr>
          <w:rFonts w:hint="default" w:ascii="Times New Roman" w:hAnsi="Times New Roman" w:eastAsia="仿宋_GB2312" w:cs="Times New Roman"/>
          <w:bCs/>
          <w:sz w:val="32"/>
          <w:szCs w:val="32"/>
          <w:highlight w:val="none"/>
        </w:rPr>
        <w:t>。</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复杂气候条件下非煤矿山边坡监测预警及稳定性控制关键技术研究</w:t>
      </w:r>
      <w:r>
        <w:rPr>
          <w:rFonts w:hint="default" w:ascii="Times New Roman" w:hAnsi="Times New Roman" w:eastAsia="仿宋_GB2312" w:cs="Times New Roman"/>
          <w:b/>
          <w:bCs/>
          <w:sz w:val="32"/>
          <w:szCs w:val="32"/>
          <w:highlight w:val="none"/>
          <w:lang w:eastAsia="zh-CN"/>
        </w:rPr>
        <w:t>（青年科学家项目）</w:t>
      </w:r>
    </w:p>
    <w:p>
      <w:pPr>
        <w:keepNext w:val="0"/>
        <w:keepLines w:val="0"/>
        <w:pageBreakBefore w:val="0"/>
        <w:widowControl w:val="0"/>
        <w:kinsoku/>
        <w:wordWrap/>
        <w:overflowPunct/>
        <w:topLinePunct/>
        <w:autoSpaceDE w:val="0"/>
        <w:autoSpaceDN/>
        <w:bidi w:val="0"/>
        <w:adjustRightInd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bCs/>
          <w:sz w:val="32"/>
          <w:szCs w:val="32"/>
          <w:highlight w:val="none"/>
        </w:rPr>
        <w:t>针对</w:t>
      </w:r>
      <w:r>
        <w:rPr>
          <w:rFonts w:hint="default" w:ascii="Times New Roman" w:hAnsi="Times New Roman" w:eastAsia="仿宋_GB2312" w:cs="Times New Roman"/>
          <w:bCs/>
          <w:sz w:val="32"/>
          <w:szCs w:val="32"/>
          <w:highlight w:val="none"/>
          <w:lang w:eastAsia="zh-CN"/>
        </w:rPr>
        <w:t>江西</w:t>
      </w:r>
      <w:r>
        <w:rPr>
          <w:rFonts w:hint="default" w:ascii="Times New Roman" w:hAnsi="Times New Roman" w:eastAsia="仿宋_GB2312" w:cs="Times New Roman"/>
          <w:color w:val="000000" w:themeColor="text1"/>
          <w:kern w:val="0"/>
          <w:sz w:val="32"/>
          <w:szCs w:val="32"/>
          <w14:textFill>
            <w14:solidFill>
              <w14:schemeClr w14:val="tx1"/>
            </w14:solidFill>
          </w14:textFill>
        </w:rPr>
        <w:t>省非煤矿山多在山区，受多雨多雾及短时强降雨等复杂环境气候特征影响较大，通过北斗等现代通信技术，结合机器视觉、光电图像位移监测及图像AI分析算法等，研究灾害智能预警技术，实现对非煤矿山边坡等场景非接触式、全天候实时测量，并分析边坡可能存在的失稳、崩塌风险，建立可存储和连续上报的高精度、高可靠性风险智能监测预警系统；构建复杂环境气候下边坡演变数字孪生模型，实现边坡滑移过程推演与位移预测，研究高陡边坡截、排水及稳定性控制关键技术，模拟边坡稳定性控制技术效果，生成边坡治理方案，选择典型非煤矿山边坡进行应用示范</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autoSpaceDE w:val="0"/>
        <w:autoSpaceDN/>
        <w:bidi w:val="0"/>
        <w:adjustRightInd w:val="0"/>
        <w:snapToGrid/>
        <w:spacing w:line="580" w:lineRule="exact"/>
        <w:ind w:left="0" w:leftChars="0" w:firstLine="643" w:firstLineChars="200"/>
        <w:jc w:val="both"/>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bCs/>
          <w:sz w:val="32"/>
          <w:szCs w:val="32"/>
          <w:highlight w:val="none"/>
        </w:rPr>
        <w:t>研发</w:t>
      </w:r>
      <w:r>
        <w:rPr>
          <w:rFonts w:hint="default" w:ascii="Times New Roman" w:hAnsi="Times New Roman" w:eastAsia="仿宋_GB2312" w:cs="Times New Roman"/>
          <w:kern w:val="0"/>
          <w:sz w:val="32"/>
          <w:szCs w:val="32"/>
        </w:rPr>
        <w:t>具有去除雨雾噪声与分级预警功能的非煤矿山全天候边坡稳定性风险智能监测预警系统1套，基于机器视觉位移监测误差在厘米级别（1-2cm），数据输出频率最高可达60Hz，实现边坡InSAR监测形变速率误差在5mm级别，实现边坡InSAR监测形变空间分辨率≤20m，滑坡变形预测准确度≥95%，滑坡应急处置决策响应时间≤3min；编制边坡治理技术规范1部，发表高水平论文不少于3篇，受理发明专利不少于2项，登记软件著作权不少于2项，选取典型非煤矿山典型边坡建立应用示范点1个</w:t>
      </w:r>
      <w:r>
        <w:rPr>
          <w:rFonts w:hint="default" w:ascii="Times New Roman" w:hAnsi="Times New Roman" w:eastAsia="仿宋_GB2312" w:cs="Times New Roman"/>
          <w:bCs/>
          <w:sz w:val="32"/>
          <w:szCs w:val="32"/>
          <w:highlight w:val="none"/>
        </w:rPr>
        <w:t>。</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江西省典型区域洪涝灾害预报预警系统关键技术研发</w:t>
      </w:r>
      <w:r>
        <w:rPr>
          <w:rFonts w:hint="default" w:ascii="Times New Roman" w:hAnsi="Times New Roman" w:eastAsia="仿宋_GB2312" w:cs="Times New Roman"/>
          <w:b/>
          <w:bCs/>
          <w:sz w:val="32"/>
          <w:szCs w:val="32"/>
          <w:highlight w:val="none"/>
          <w:lang w:eastAsia="zh-CN"/>
        </w:rPr>
        <w:t>（青年科学家项目）</w:t>
      </w:r>
    </w:p>
    <w:p>
      <w:pPr>
        <w:keepNext w:val="0"/>
        <w:keepLines w:val="0"/>
        <w:pageBreakBefore w:val="0"/>
        <w:widowControl w:val="0"/>
        <w:kinsoku/>
        <w:wordWrap/>
        <w:overflowPunct/>
        <w:topLinePunct/>
        <w:autoSpaceDE w:val="0"/>
        <w:autoSpaceDN/>
        <w:bidi w:val="0"/>
        <w:adjustRightInd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color w:val="000000"/>
          <w:kern w:val="0"/>
          <w:sz w:val="32"/>
          <w:szCs w:val="32"/>
          <w:lang w:bidi="ar"/>
        </w:rPr>
        <w:t>江西省暴雨洪涝事件频发，山地丘陵地形复杂，狭窄河谷密布、江河湖泊级联交错，</w:t>
      </w:r>
      <w:r>
        <w:rPr>
          <w:rFonts w:hint="default" w:ascii="Times New Roman" w:hAnsi="Times New Roman" w:eastAsia="仿宋_GB2312" w:cs="Times New Roman"/>
          <w:bCs/>
          <w:sz w:val="32"/>
          <w:szCs w:val="32"/>
        </w:rPr>
        <w:t>针对</w:t>
      </w:r>
      <w:r>
        <w:rPr>
          <w:rFonts w:hint="default" w:ascii="Times New Roman" w:hAnsi="Times New Roman" w:eastAsia="仿宋_GB2312" w:cs="Times New Roman"/>
          <w:color w:val="000000"/>
          <w:kern w:val="0"/>
          <w:sz w:val="32"/>
          <w:szCs w:val="32"/>
          <w:lang w:bidi="ar"/>
        </w:rPr>
        <w:t>山洪和流域性洪水预报预警存在时效性不强、精度不高的严重问题，开展典型区域洪涝灾害风险模拟研究和监测预报预警系统研发。分析局地尺度的山洪运动特征和发生机制，及其与流域尺度的江河洪水叠加与耦合机制，构建精细化水文水动力建模及计算方法，实现从流域上游山洪到流域出口的不同级别河网水系洪水演进和洪泛区洪涝淹没分布式动态模拟和预报；研发多源遥感洪涝监测降尺度算法与数值模拟集成方法，提高多时空尺度洪水淹没范围、水深、流速等关键致灾要素监测和预报精度；分析不同尺度洪涝过程对人口、农作物和基础设施的影响，并构建其风险评估方法，系统开展山洪、流域洪涝灾害风险分区、分类、分级研究，为洪涝灾害预报预警和应急响应指挥提供科学依据</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autoSpaceDE w:val="0"/>
        <w:autoSpaceDN/>
        <w:bidi w:val="0"/>
        <w:adjustRightInd w:val="0"/>
        <w:snapToGrid/>
        <w:spacing w:line="580" w:lineRule="exact"/>
        <w:ind w:left="0" w:leftChars="0" w:firstLine="643" w:firstLineChars="200"/>
        <w:jc w:val="both"/>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color w:val="000000"/>
          <w:kern w:val="0"/>
          <w:sz w:val="32"/>
          <w:szCs w:val="32"/>
          <w:lang w:bidi="ar"/>
        </w:rPr>
        <w:t>构建山洪-流域性（江河）洪水一体化模拟模型1套；建立江西省典型区域的山洪和江河洪水监测和预报预警系统1套，空间分辨率不低于1</w:t>
      </w:r>
      <w:r>
        <w:rPr>
          <w:rFonts w:hint="default" w:ascii="Times New Roman" w:hAnsi="Times New Roman" w:eastAsia="仿宋_GB2312" w:cs="Times New Roman"/>
          <w:color w:val="000000"/>
          <w:kern w:val="0"/>
          <w:sz w:val="32"/>
          <w:szCs w:val="32"/>
          <w:lang w:val="en-US" w:eastAsia="zh-CN" w:bidi="ar"/>
        </w:rPr>
        <w:t>km</w:t>
      </w:r>
      <w:r>
        <w:rPr>
          <w:rFonts w:hint="default" w:ascii="Times New Roman" w:hAnsi="Times New Roman" w:eastAsia="仿宋_GB2312" w:cs="Times New Roman"/>
          <w:color w:val="000000"/>
          <w:kern w:val="0"/>
          <w:sz w:val="32"/>
          <w:szCs w:val="32"/>
          <w:lang w:bidi="ar"/>
        </w:rPr>
        <w:t>，预报时效达72</w:t>
      </w:r>
      <w:r>
        <w:rPr>
          <w:rFonts w:hint="default" w:ascii="Times New Roman" w:hAnsi="Times New Roman" w:eastAsia="仿宋_GB2312" w:cs="Times New Roman"/>
          <w:color w:val="000000"/>
          <w:kern w:val="0"/>
          <w:sz w:val="32"/>
          <w:szCs w:val="32"/>
          <w:lang w:val="en-US" w:eastAsia="zh-CN" w:bidi="ar"/>
        </w:rPr>
        <w:t>h</w:t>
      </w:r>
      <w:r>
        <w:rPr>
          <w:rFonts w:hint="default" w:ascii="Times New Roman" w:hAnsi="Times New Roman" w:eastAsia="仿宋_GB2312" w:cs="Times New Roman"/>
          <w:color w:val="000000"/>
          <w:kern w:val="0"/>
          <w:sz w:val="32"/>
          <w:szCs w:val="32"/>
          <w:lang w:bidi="ar"/>
        </w:rPr>
        <w:t>，时间步长&lt;1</w:t>
      </w:r>
      <w:r>
        <w:rPr>
          <w:rFonts w:hint="default" w:ascii="Times New Roman" w:hAnsi="Times New Roman" w:eastAsia="仿宋_GB2312" w:cs="Times New Roman"/>
          <w:color w:val="000000"/>
          <w:kern w:val="0"/>
          <w:sz w:val="32"/>
          <w:szCs w:val="32"/>
          <w:lang w:val="en-US" w:eastAsia="zh-CN" w:bidi="ar"/>
        </w:rPr>
        <w:t>h</w:t>
      </w:r>
      <w:r>
        <w:rPr>
          <w:rFonts w:hint="default" w:ascii="Times New Roman" w:hAnsi="Times New Roman" w:eastAsia="仿宋_GB2312" w:cs="Times New Roman"/>
          <w:color w:val="000000"/>
          <w:kern w:val="0"/>
          <w:sz w:val="32"/>
          <w:szCs w:val="32"/>
          <w:lang w:bidi="ar"/>
        </w:rPr>
        <w:t>；洪水预报河道流量KGE性能指标不低于0.6，淹没范围识别准确率达70%以上；编制典型区域内县级山洪灾害危险区分布图集1套、洪水风险区划图及防治区划图集各1套；发表高水平论文4-5篇（SCI论文不少于2篇）；申请发明专利或软件著作权2-3项</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val="0"/>
        <w:numPr>
          <w:ilvl w:val="0"/>
          <w:numId w:val="1"/>
        </w:numPr>
        <w:tabs>
          <w:tab w:val="left" w:pos="0"/>
        </w:tabs>
        <w:kinsoku/>
        <w:wordWrap/>
        <w:overflowPunct/>
        <w:topLinePunct/>
        <w:autoSpaceDE w:val="0"/>
        <w:autoSpaceDN/>
        <w:bidi w:val="0"/>
        <w:snapToGrid/>
        <w:spacing w:line="58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公路边坡地质灾害智能识别与监测预警关键技术研究及应用示范</w:t>
      </w:r>
      <w:r>
        <w:rPr>
          <w:rFonts w:hint="default" w:ascii="Times New Roman" w:hAnsi="Times New Roman" w:eastAsia="仿宋_GB2312" w:cs="Times New Roman"/>
          <w:b/>
          <w:bCs/>
          <w:sz w:val="32"/>
          <w:szCs w:val="32"/>
          <w:highlight w:val="none"/>
          <w:lang w:eastAsia="zh-CN"/>
        </w:rPr>
        <w:t>（青年科学家项目）</w:t>
      </w:r>
    </w:p>
    <w:p>
      <w:pPr>
        <w:keepNext w:val="0"/>
        <w:keepLines w:val="0"/>
        <w:pageBreakBefore w:val="0"/>
        <w:widowControl w:val="0"/>
        <w:kinsoku/>
        <w:wordWrap/>
        <w:overflowPunct/>
        <w:topLinePunct/>
        <w:autoSpaceDE w:val="0"/>
        <w:autoSpaceDN/>
        <w:bidi w:val="0"/>
        <w:adjustRightInd w:val="0"/>
        <w:snapToGrid/>
        <w:spacing w:line="58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bCs/>
          <w:sz w:val="32"/>
          <w:szCs w:val="32"/>
          <w:highlight w:val="none"/>
        </w:rPr>
        <w:t>针对</w:t>
      </w:r>
      <w:r>
        <w:rPr>
          <w:rFonts w:hint="default" w:ascii="Times New Roman" w:hAnsi="Times New Roman" w:eastAsia="仿宋_GB2312" w:cs="Times New Roman"/>
          <w:bCs/>
          <w:sz w:val="32"/>
          <w:szCs w:val="32"/>
        </w:rPr>
        <w:t>江西省当前公路边坡地质灾害突发性强、监测预警时效性差等难题，研究基于无人机巡查及多元遥感技术的公路边坡地质灾害智能识别技术、基于YOLO X和Mask R-CNN集成模型的边坡表面变形识别方法，研发模糊视野下的公路边坡地质灾害自动监测预测设备，实现对公路边坡地质灾害的快速准确预警；构建公路边坡智能巡检及监控预警平台，对全省国省道的地质灾害隐患点进行分级分类管理；构建地质灾害隐患潜在风险评价体系，提出预警和趋势预测方法；形成“智能巡检—自动监测—病害诊断—养护决策—动态跟踪”的公路边坡智能巡检养护一体化技术，选择典型公路开展应用示范</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autoSpaceDE w:val="0"/>
        <w:autoSpaceDN/>
        <w:bidi w:val="0"/>
        <w:adjustRightInd w:val="0"/>
        <w:snapToGrid/>
        <w:spacing w:line="54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bCs/>
          <w:sz w:val="32"/>
          <w:szCs w:val="32"/>
        </w:rPr>
        <w:t>提出1种基于无人机及多元遥感技术的公路边坡地质灾害隐患早期识别方法；研发公路边坡地质灾害采集设备1-2台套；构建1套公路边坡智能巡检及应急监控预警平台；编制江西省国省道公路滑坡地质灾害巡查监测与预警工作指南1项，申请受理发明专利不少于2项，登记软件著作权不少于2项，发表高水平论文不少于3篇；在3条国省道且每条路段长度不少于20公里，选取具有代表性的典型公路边坡，开展边坡地质灾害智能识别与监测预警技术示范工程</w:t>
      </w:r>
      <w:r>
        <w:rPr>
          <w:rFonts w:hint="default" w:ascii="Times New Roman" w:hAnsi="Times New Roman" w:eastAsia="仿宋_GB2312" w:cs="Times New Roman"/>
          <w:bCs/>
          <w:sz w:val="32"/>
          <w:szCs w:val="32"/>
          <w:highlight w:val="none"/>
        </w:rPr>
        <w:t>。</w:t>
      </w:r>
    </w:p>
    <w:p>
      <w:pPr>
        <w:keepNext w:val="0"/>
        <w:keepLines w:val="0"/>
        <w:pageBreakBefore w:val="0"/>
        <w:widowControl w:val="0"/>
        <w:numPr>
          <w:ilvl w:val="0"/>
          <w:numId w:val="1"/>
        </w:numPr>
        <w:tabs>
          <w:tab w:val="left" w:pos="0"/>
          <w:tab w:val="left" w:pos="922"/>
        </w:tabs>
        <w:kinsoku/>
        <w:wordWrap/>
        <w:overflowPunct/>
        <w:topLinePunct/>
        <w:autoSpaceDE w:val="0"/>
        <w:autoSpaceDN/>
        <w:bidi w:val="0"/>
        <w:snapToGrid/>
        <w:spacing w:line="540" w:lineRule="exact"/>
        <w:ind w:left="0" w:leftChars="0" w:firstLine="642" w:firstLineChars="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绿色低碳建筑智能设计与建造关键技术研究及示范</w:t>
      </w:r>
    </w:p>
    <w:p>
      <w:pPr>
        <w:keepNext w:val="0"/>
        <w:keepLines w:val="0"/>
        <w:pageBreakBefore w:val="0"/>
        <w:widowControl w:val="0"/>
        <w:kinsoku/>
        <w:wordWrap/>
        <w:overflowPunct/>
        <w:topLinePunct/>
        <w:autoSpaceDE w:val="0"/>
        <w:autoSpaceDN/>
        <w:bidi w:val="0"/>
        <w:adjustRightInd w:val="0"/>
        <w:snapToGrid/>
        <w:spacing w:line="540" w:lineRule="exact"/>
        <w:ind w:left="0" w:leftChars="0" w:firstLine="643"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研究内容：</w:t>
      </w:r>
      <w:r>
        <w:rPr>
          <w:rFonts w:hint="default" w:ascii="Times New Roman" w:hAnsi="Times New Roman" w:eastAsia="仿宋_GB2312" w:cs="Times New Roman"/>
          <w:color w:val="000000"/>
          <w:kern w:val="0"/>
          <w:sz w:val="32"/>
          <w:szCs w:val="32"/>
          <w:lang w:bidi="ar"/>
        </w:rPr>
        <w:t>基于江西省赣派民居文化，开展适用于赣派地区地理、气候、文化和社会发展的新民居村落数字建筑设计及智能建造成套技术研发。研发基于国产化技术的新民居村落数字建筑设计方法；建立适用于赣派民居的建筑绿色低碳设计方法；研发融合本土特色的绿色低碳组合材料构件技术，包括竹材料应用、保温承重一体化泡沫混凝土等材料技术；研发赣派民居模块化建造技术，包括标准化房屋产品开发、工业化量产工艺工装和全干式安装快速交付工艺，研发部品构件智能生产设备以及信息化管理系统；开展绿色低碳建筑智能设计与建造工程应用示范</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autoSpaceDE w:val="0"/>
        <w:autoSpaceDN/>
        <w:bidi w:val="0"/>
        <w:adjustRightInd w:val="0"/>
        <w:snapToGrid/>
        <w:spacing w:line="54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highlight w:val="none"/>
        </w:rPr>
        <w:t>考核指标：</w:t>
      </w:r>
      <w:r>
        <w:rPr>
          <w:rFonts w:hint="default" w:ascii="Times New Roman" w:hAnsi="Times New Roman" w:eastAsia="仿宋_GB2312" w:cs="Times New Roman"/>
          <w:kern w:val="0"/>
          <w:sz w:val="32"/>
          <w:szCs w:val="32"/>
        </w:rPr>
        <w:t>提出赣派新民居建筑数字设计方法，形成国产化建筑数字设计及空间体型优化分析软件3项，取得软件著作权3项；针对不同应用场景，开发标准化房屋产品，达到绿建三星水平，碳排放较传统建造方式降低50%以上；研发工业化量产与全干式安装装配式技术体系，实现建安降本10%以上，较传统建造方式工期节约70%以上；研发并建成构件生产线1条，年产能不低于5万m</w:t>
      </w:r>
      <w:r>
        <w:rPr>
          <w:rFonts w:hint="default" w:ascii="Times New Roman" w:hAnsi="Times New Roman" w:eastAsia="仿宋_GB2312" w:cs="Times New Roman"/>
          <w:kern w:val="0"/>
          <w:sz w:val="32"/>
          <w:szCs w:val="32"/>
          <w:vertAlign w:val="superscript"/>
        </w:rPr>
        <w:t>3</w:t>
      </w:r>
      <w:r>
        <w:rPr>
          <w:rFonts w:hint="default" w:ascii="Times New Roman" w:hAnsi="Times New Roman" w:eastAsia="仿宋_GB2312" w:cs="Times New Roman"/>
          <w:kern w:val="0"/>
          <w:sz w:val="32"/>
          <w:szCs w:val="32"/>
        </w:rPr>
        <w:t>；示范工程不少于2项，申请专利不少于4项；发表高水平论文不少于6篇；申请国家/行业/地方技术标准不少于2部</w:t>
      </w:r>
      <w:r>
        <w:rPr>
          <w:rFonts w:hint="default" w:ascii="Times New Roman" w:hAnsi="Times New Roman" w:eastAsia="仿宋_GB2312" w:cs="Times New Roman"/>
          <w:bCs/>
          <w:sz w:val="32"/>
          <w:szCs w:val="32"/>
          <w:highlight w:val="none"/>
        </w:rPr>
        <w:t>。</w:t>
      </w:r>
    </w:p>
    <w:bookmarkEnd w:id="0"/>
    <w:p>
      <w:pPr>
        <w:rPr>
          <w:rFonts w:hint="default" w:ascii="Times New Roman" w:hAnsi="Times New Roman" w:cs="Times New Roman"/>
          <w:lang w:val="en"/>
        </w:rPr>
      </w:pPr>
    </w:p>
    <w:p>
      <w:pPr>
        <w:pStyle w:val="2"/>
        <w:rPr>
          <w:rFonts w:hint="default" w:ascii="Times New Roman" w:hAnsi="Times New Roman" w:eastAsia="仿宋_GB2312" w:cs="Times New Roman"/>
          <w:color w:val="000000"/>
          <w:sz w:val="32"/>
          <w:szCs w:val="32"/>
          <w:lang w:val="en-US" w:eastAsia="zh-CN"/>
        </w:rPr>
      </w:pPr>
    </w:p>
    <w:p>
      <w:pPr>
        <w:pStyle w:val="2"/>
        <w:rPr>
          <w:rFonts w:hint="default" w:ascii="Times New Roman" w:hAnsi="Times New Roman" w:eastAsia="仿宋_GB2312" w:cs="Times New Roman"/>
          <w:color w:val="000000"/>
          <w:sz w:val="32"/>
          <w:szCs w:val="32"/>
          <w:lang w:val="en-US" w:eastAsia="zh-CN"/>
        </w:rPr>
      </w:pPr>
    </w:p>
    <w:p>
      <w:pPr>
        <w:pStyle w:val="2"/>
        <w:rPr>
          <w:rFonts w:hint="default" w:ascii="Times New Roman" w:hAnsi="Times New Roman" w:eastAsia="仿宋_GB2312" w:cs="Times New Roman"/>
          <w:color w:val="000000"/>
          <w:sz w:val="32"/>
          <w:szCs w:val="32"/>
          <w:lang w:val="en-US" w:eastAsia="zh-CN"/>
        </w:rPr>
      </w:pPr>
    </w:p>
    <w:p>
      <w:pPr>
        <w:pStyle w:val="2"/>
        <w:rPr>
          <w:rFonts w:hint="default" w:ascii="Times New Roman" w:hAnsi="Times New Roman" w:eastAsia="仿宋_GB2312" w:cs="Times New Roman"/>
          <w:color w:val="000000"/>
          <w:sz w:val="32"/>
          <w:szCs w:val="32"/>
          <w:lang w:val="en-US" w:eastAsia="zh-CN"/>
        </w:rPr>
      </w:pPr>
    </w:p>
    <w:p>
      <w:pPr>
        <w:pStyle w:val="2"/>
        <w:rPr>
          <w:rFonts w:hint="default" w:ascii="Times New Roman" w:hAnsi="Times New Roman" w:eastAsia="仿宋_GB2312" w:cs="Times New Roman"/>
          <w:color w:val="000000"/>
          <w:sz w:val="32"/>
          <w:szCs w:val="32"/>
          <w:lang w:val="en-US" w:eastAsia="zh-CN"/>
        </w:rPr>
      </w:pPr>
    </w:p>
    <w:p>
      <w:pPr>
        <w:pStyle w:val="2"/>
        <w:rPr>
          <w:rFonts w:hint="default" w:ascii="Times New Roman" w:hAnsi="Times New Roman" w:eastAsia="仿宋_GB2312" w:cs="Times New Roman"/>
          <w:color w:val="000000"/>
          <w:sz w:val="32"/>
          <w:szCs w:val="32"/>
          <w:lang w:val="en-US" w:eastAsia="zh-CN"/>
        </w:rPr>
      </w:pPr>
    </w:p>
    <w:p>
      <w:pPr>
        <w:pStyle w:val="2"/>
        <w:rPr>
          <w:rFonts w:hint="default" w:ascii="Times New Roman" w:hAnsi="Times New Roman" w:eastAsia="仿宋_GB2312" w:cs="Times New Roman"/>
          <w:color w:val="000000"/>
          <w:sz w:val="32"/>
          <w:szCs w:val="32"/>
          <w:lang w:val="en-US" w:eastAsia="zh-CN"/>
        </w:rPr>
      </w:pPr>
    </w:p>
    <w:p>
      <w:pPr>
        <w:pStyle w:val="2"/>
        <w:rPr>
          <w:rFonts w:hint="default" w:ascii="Times New Roman" w:hAnsi="Times New Roman" w:eastAsia="仿宋_GB2312" w:cs="Times New Roman"/>
          <w:color w:val="00000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default" w:ascii="Times New Roman" w:hAnsi="Times New Roman" w:cs="Times New Roman"/>
      </w:rPr>
    </w:pPr>
    <w:r>
      <w:rPr>
        <w:rStyle w:val="11"/>
        <w:rFonts w:hint="default" w:ascii="Times New Roman" w:hAnsi="Times New Roman" w:cs="Times New Roman"/>
        <w:sz w:val="28"/>
        <w:szCs w:val="28"/>
        <w:lang w:bidi="ar"/>
      </w:rPr>
      <w:t xml:space="preserve">— </w:t>
    </w:r>
    <w:r>
      <w:rPr>
        <w:rFonts w:hint="default" w:ascii="Times New Roman" w:hAnsi="Times New Roman" w:cs="Times New Roman"/>
        <w:sz w:val="28"/>
        <w:szCs w:val="28"/>
        <w:lang w:bidi="ar"/>
      </w:rPr>
      <w:fldChar w:fldCharType="begin"/>
    </w:r>
    <w:r>
      <w:rPr>
        <w:rStyle w:val="11"/>
        <w:rFonts w:hint="default" w:ascii="Times New Roman" w:hAnsi="Times New Roman" w:cs="Times New Roman"/>
        <w:sz w:val="28"/>
        <w:szCs w:val="28"/>
        <w:lang w:bidi="ar"/>
      </w:rPr>
      <w:instrText xml:space="preserve">PAGE  </w:instrText>
    </w:r>
    <w:r>
      <w:rPr>
        <w:rFonts w:hint="default" w:ascii="Times New Roman" w:hAnsi="Times New Roman" w:cs="Times New Roman"/>
        <w:sz w:val="28"/>
        <w:szCs w:val="28"/>
        <w:lang w:bidi="ar"/>
      </w:rPr>
      <w:fldChar w:fldCharType="separate"/>
    </w:r>
    <w:r>
      <w:rPr>
        <w:rStyle w:val="11"/>
        <w:rFonts w:hint="default" w:ascii="Times New Roman" w:hAnsi="Times New Roman" w:cs="Times New Roman"/>
        <w:sz w:val="28"/>
        <w:szCs w:val="28"/>
        <w:lang w:bidi="ar"/>
      </w:rPr>
      <w:t>1</w:t>
    </w:r>
    <w:r>
      <w:rPr>
        <w:rFonts w:hint="default" w:ascii="Times New Roman" w:hAnsi="Times New Roman" w:cs="Times New Roman"/>
        <w:sz w:val="28"/>
        <w:szCs w:val="28"/>
        <w:lang w:bidi="ar"/>
      </w:rPr>
      <w:fldChar w:fldCharType="end"/>
    </w:r>
    <w:r>
      <w:rPr>
        <w:rStyle w:val="11"/>
        <w:rFonts w:hint="default" w:ascii="Times New Roman" w:hAnsi="Times New Roman" w:cs="Times New Roman"/>
        <w:sz w:val="28"/>
        <w:szCs w:val="28"/>
        <w:lang w:bidi="a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ascii="Times New Roman" w:hAnsi="Times New Roman" w:cs="Times New Roman"/>
      </w:rPr>
    </w:pPr>
    <w:r>
      <w:rPr>
        <w:rStyle w:val="11"/>
        <w:rFonts w:hint="default" w:ascii="Times New Roman" w:hAnsi="Times New Roman" w:cs="Times New Roman"/>
        <w:sz w:val="28"/>
        <w:szCs w:val="28"/>
        <w:lang w:bidi="ar"/>
      </w:rPr>
      <w:t xml:space="preserve">— </w:t>
    </w:r>
    <w:r>
      <w:rPr>
        <w:rFonts w:hint="default" w:ascii="Times New Roman" w:hAnsi="Times New Roman" w:cs="Times New Roman"/>
        <w:sz w:val="28"/>
        <w:szCs w:val="28"/>
        <w:lang w:bidi="ar"/>
      </w:rPr>
      <w:fldChar w:fldCharType="begin"/>
    </w:r>
    <w:r>
      <w:rPr>
        <w:rStyle w:val="11"/>
        <w:rFonts w:hint="default" w:ascii="Times New Roman" w:hAnsi="Times New Roman" w:cs="Times New Roman"/>
        <w:sz w:val="28"/>
        <w:szCs w:val="28"/>
        <w:lang w:bidi="ar"/>
      </w:rPr>
      <w:instrText xml:space="preserve">PAGE  </w:instrText>
    </w:r>
    <w:r>
      <w:rPr>
        <w:rFonts w:hint="default" w:ascii="Times New Roman" w:hAnsi="Times New Roman" w:cs="Times New Roman"/>
        <w:sz w:val="28"/>
        <w:szCs w:val="28"/>
        <w:lang w:bidi="ar"/>
      </w:rPr>
      <w:fldChar w:fldCharType="separate"/>
    </w:r>
    <w:r>
      <w:rPr>
        <w:rStyle w:val="11"/>
        <w:rFonts w:hint="default" w:ascii="Times New Roman" w:hAnsi="Times New Roman" w:cs="Times New Roman"/>
        <w:sz w:val="28"/>
        <w:szCs w:val="28"/>
        <w:lang w:bidi="ar"/>
      </w:rPr>
      <w:t>1</w:t>
    </w:r>
    <w:r>
      <w:rPr>
        <w:rFonts w:hint="default" w:ascii="Times New Roman" w:hAnsi="Times New Roman" w:cs="Times New Roman"/>
        <w:sz w:val="28"/>
        <w:szCs w:val="28"/>
        <w:lang w:bidi="ar"/>
      </w:rPr>
      <w:fldChar w:fldCharType="end"/>
    </w:r>
    <w:r>
      <w:rPr>
        <w:rStyle w:val="11"/>
        <w:rFonts w:hint="default" w:ascii="Times New Roman" w:hAnsi="Times New Roman" w:cs="Times New Roman"/>
        <w:sz w:val="28"/>
        <w:szCs w:val="28"/>
        <w:lang w:bidi="a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default" w:ascii="Times New Roman" w:hAnsi="Times New Roman" w:cs="Times New Roman"/>
      </w:rPr>
    </w:pPr>
    <w:r>
      <w:rPr>
        <w:rStyle w:val="11"/>
        <w:rFonts w:hint="default" w:ascii="Times New Roman" w:hAnsi="Times New Roman" w:cs="Times New Roman"/>
        <w:sz w:val="28"/>
        <w:szCs w:val="28"/>
        <w:lang w:bidi="ar"/>
      </w:rPr>
      <w:t xml:space="preserve">— </w:t>
    </w:r>
    <w:r>
      <w:rPr>
        <w:rFonts w:hint="default" w:ascii="Times New Roman" w:hAnsi="Times New Roman" w:cs="Times New Roman"/>
        <w:sz w:val="28"/>
        <w:szCs w:val="28"/>
        <w:lang w:bidi="ar"/>
      </w:rPr>
      <w:fldChar w:fldCharType="begin"/>
    </w:r>
    <w:r>
      <w:rPr>
        <w:rStyle w:val="11"/>
        <w:rFonts w:hint="default" w:ascii="Times New Roman" w:hAnsi="Times New Roman" w:cs="Times New Roman"/>
        <w:sz w:val="28"/>
        <w:szCs w:val="28"/>
        <w:lang w:bidi="ar"/>
      </w:rPr>
      <w:instrText xml:space="preserve">PAGE  </w:instrText>
    </w:r>
    <w:r>
      <w:rPr>
        <w:rFonts w:hint="default" w:ascii="Times New Roman" w:hAnsi="Times New Roman" w:cs="Times New Roman"/>
        <w:sz w:val="28"/>
        <w:szCs w:val="28"/>
        <w:lang w:bidi="ar"/>
      </w:rPr>
      <w:fldChar w:fldCharType="separate"/>
    </w:r>
    <w:r>
      <w:rPr>
        <w:rStyle w:val="11"/>
        <w:rFonts w:hint="default" w:ascii="Times New Roman" w:hAnsi="Times New Roman" w:cs="Times New Roman"/>
        <w:sz w:val="28"/>
        <w:szCs w:val="28"/>
        <w:lang w:bidi="ar"/>
      </w:rPr>
      <w:t>1</w:t>
    </w:r>
    <w:r>
      <w:rPr>
        <w:rFonts w:hint="default" w:ascii="Times New Roman" w:hAnsi="Times New Roman" w:cs="Times New Roman"/>
        <w:sz w:val="28"/>
        <w:szCs w:val="28"/>
        <w:lang w:bidi="ar"/>
      </w:rPr>
      <w:fldChar w:fldCharType="end"/>
    </w:r>
    <w:r>
      <w:rPr>
        <w:rStyle w:val="11"/>
        <w:rFonts w:hint="default" w:ascii="Times New Roman" w:hAnsi="Times New Roman" w:cs="Times New Roman"/>
        <w:sz w:val="28"/>
        <w:szCs w:val="28"/>
        <w:lang w:bidi="a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ascii="Times New Roman" w:hAnsi="Times New Roman" w:cs="Times New Roman"/>
      </w:rPr>
    </w:pPr>
    <w:r>
      <w:rPr>
        <w:rStyle w:val="11"/>
        <w:rFonts w:hint="default" w:ascii="Times New Roman" w:hAnsi="Times New Roman" w:cs="Times New Roman"/>
        <w:sz w:val="28"/>
        <w:szCs w:val="28"/>
        <w:lang w:bidi="ar"/>
      </w:rPr>
      <w:t xml:space="preserve">— </w:t>
    </w:r>
    <w:r>
      <w:rPr>
        <w:rFonts w:hint="default" w:ascii="Times New Roman" w:hAnsi="Times New Roman" w:cs="Times New Roman"/>
        <w:sz w:val="28"/>
        <w:szCs w:val="28"/>
        <w:lang w:bidi="ar"/>
      </w:rPr>
      <w:fldChar w:fldCharType="begin"/>
    </w:r>
    <w:r>
      <w:rPr>
        <w:rStyle w:val="11"/>
        <w:rFonts w:hint="default" w:ascii="Times New Roman" w:hAnsi="Times New Roman" w:cs="Times New Roman"/>
        <w:sz w:val="28"/>
        <w:szCs w:val="28"/>
        <w:lang w:bidi="ar"/>
      </w:rPr>
      <w:instrText xml:space="preserve">PAGE  </w:instrText>
    </w:r>
    <w:r>
      <w:rPr>
        <w:rFonts w:hint="default" w:ascii="Times New Roman" w:hAnsi="Times New Roman" w:cs="Times New Roman"/>
        <w:sz w:val="28"/>
        <w:szCs w:val="28"/>
        <w:lang w:bidi="ar"/>
      </w:rPr>
      <w:fldChar w:fldCharType="separate"/>
    </w:r>
    <w:r>
      <w:rPr>
        <w:rStyle w:val="11"/>
        <w:rFonts w:hint="default" w:ascii="Times New Roman" w:hAnsi="Times New Roman" w:cs="Times New Roman"/>
        <w:sz w:val="28"/>
        <w:szCs w:val="28"/>
        <w:lang w:bidi="ar"/>
      </w:rPr>
      <w:t>1</w:t>
    </w:r>
    <w:r>
      <w:rPr>
        <w:rFonts w:hint="default" w:ascii="Times New Roman" w:hAnsi="Times New Roman" w:cs="Times New Roman"/>
        <w:sz w:val="28"/>
        <w:szCs w:val="28"/>
        <w:lang w:bidi="ar"/>
      </w:rPr>
      <w:fldChar w:fldCharType="end"/>
    </w:r>
    <w:r>
      <w:rPr>
        <w:rStyle w:val="11"/>
        <w:rFonts w:hint="default" w:ascii="Times New Roman" w:hAnsi="Times New Roman" w:cs="Times New Roman"/>
        <w:sz w:val="28"/>
        <w:szCs w:val="28"/>
        <w:lang w:bidi="ar"/>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E13D0D"/>
    <w:multiLevelType w:val="singleLevel"/>
    <w:tmpl w:val="DDE13D0D"/>
    <w:lvl w:ilvl="0" w:tentative="0">
      <w:start w:val="1"/>
      <w:numFmt w:val="decimal"/>
      <w:suff w:val="nothing"/>
      <w:lvlText w:val="%1．"/>
      <w:lvlJc w:val="left"/>
      <w:pPr>
        <w:ind w:left="1024"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wMDM2M2FhYzlhNjg5OGQ1OWNhMTg2NmIzNzMxY2EifQ=="/>
  </w:docVars>
  <w:rsids>
    <w:rsidRoot w:val="1E351309"/>
    <w:rsid w:val="03D86438"/>
    <w:rsid w:val="1E351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adjustRightInd w:val="0"/>
      <w:snapToGrid w:val="0"/>
      <w:spacing w:line="380" w:lineRule="exact"/>
      <w:ind w:firstLine="636"/>
    </w:pPr>
    <w:rPr>
      <w:rFonts w:asciiTheme="minorHAnsi" w:hAnsiTheme="minorHAnsi" w:eastAsiaTheme="minorEastAsia" w:cstheme="minorBidi"/>
      <w:szCs w:val="24"/>
    </w:rPr>
  </w:style>
  <w:style w:type="paragraph" w:styleId="3">
    <w:name w:val="Body Text"/>
    <w:basedOn w:val="1"/>
    <w:next w:val="4"/>
    <w:qFormat/>
    <w:uiPriority w:val="0"/>
    <w:pPr>
      <w:spacing w:after="120" w:afterLines="0" w:afterAutospacing="0"/>
    </w:pPr>
    <w:rPr>
      <w:rFonts w:asciiTheme="minorHAnsi" w:hAnsiTheme="minorHAnsi" w:eastAsiaTheme="minorEastAsia" w:cstheme="minorBidi"/>
      <w:szCs w:val="24"/>
    </w:rPr>
  </w:style>
  <w:style w:type="paragraph" w:styleId="4">
    <w:name w:val="Body Text First Indent"/>
    <w:basedOn w:val="3"/>
    <w:next w:val="3"/>
    <w:unhideWhenUsed/>
    <w:qFormat/>
    <w:uiPriority w:val="99"/>
    <w:pPr>
      <w:ind w:firstLine="420" w:firstLineChars="100"/>
    </w:pPr>
  </w:style>
  <w:style w:type="paragraph" w:styleId="5">
    <w:name w:val="footer"/>
    <w:basedOn w:val="1"/>
    <w:qFormat/>
    <w:uiPriority w:val="0"/>
    <w:pPr>
      <w:tabs>
        <w:tab w:val="center" w:pos="4153"/>
        <w:tab w:val="right" w:pos="8306"/>
      </w:tabs>
      <w:snapToGrid w:val="0"/>
      <w:jc w:val="left"/>
    </w:pPr>
    <w:rPr>
      <w:rFonts w:asciiTheme="minorHAnsi" w:hAnsiTheme="minorHAnsi" w:eastAsiaTheme="minorEastAsia" w:cstheme="minorBidi"/>
      <w:sz w:val="18"/>
      <w:szCs w:val="24"/>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sz w:val="18"/>
      <w:szCs w:val="24"/>
    </w:rPr>
  </w:style>
  <w:style w:type="paragraph" w:styleId="7">
    <w:name w:val="Body Text First Indent 2"/>
    <w:basedOn w:val="2"/>
    <w:next w:val="4"/>
    <w:qFormat/>
    <w:uiPriority w:val="0"/>
    <w:pPr>
      <w:ind w:firstLine="200" w:firstLineChars="200"/>
    </w:pPr>
    <w:rPr>
      <w:rFonts w:ascii="Times New Roman" w:hAnsi="Times New Roman"/>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font1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91</Pages>
  <Words>48717</Words>
  <Characters>52977</Characters>
  <Lines>0</Lines>
  <Paragraphs>0</Paragraphs>
  <TotalTime>0</TotalTime>
  <ScaleCrop>false</ScaleCrop>
  <LinksUpToDate>false</LinksUpToDate>
  <CharactersWithSpaces>53135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2024-06-15T09:22:00Z</dcterms:created>
  <dc:creator>11638</dc:creator>
  <cp:lastModifiedBy>牛皮不是牛皮是皮</cp:lastModifiedBy>
  <dcterms:modified xsi:type="dcterms:W3CDTF">2024-06-17T02:30:54Z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07576AC343BA4BC9A104797A8E9A41BB_11</vt:lpwstr>
  </property>
</Properties>
</file>