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4A6" w:rsidRPr="00A504A6" w:rsidRDefault="00A504A6" w:rsidP="00A504A6">
      <w:pPr>
        <w:spacing w:line="360" w:lineRule="auto"/>
        <w:rPr>
          <w:rFonts w:ascii="黑体" w:eastAsia="黑体" w:hAnsi="黑体"/>
          <w:color w:val="000000"/>
          <w:sz w:val="32"/>
          <w:szCs w:val="32"/>
        </w:rPr>
      </w:pPr>
      <w:r w:rsidRPr="00A504A6">
        <w:rPr>
          <w:rFonts w:ascii="黑体" w:eastAsia="黑体" w:hAnsi="黑体" w:hint="eastAsia"/>
          <w:color w:val="000000"/>
          <w:sz w:val="32"/>
          <w:szCs w:val="32"/>
        </w:rPr>
        <w:t>附件1</w:t>
      </w:r>
      <w:r w:rsidRPr="00A504A6">
        <w:rPr>
          <w:rFonts w:ascii="黑体" w:eastAsia="黑体" w:hAnsi="黑体"/>
          <w:color w:val="000000"/>
          <w:sz w:val="32"/>
          <w:szCs w:val="32"/>
        </w:rPr>
        <w:t>:</w:t>
      </w:r>
    </w:p>
    <w:p w:rsidR="00A504A6" w:rsidRPr="00A504A6" w:rsidRDefault="00A504A6" w:rsidP="00A504A6">
      <w:pPr>
        <w:spacing w:after="120" w:line="360" w:lineRule="auto"/>
        <w:rPr>
          <w:color w:val="000000"/>
          <w:sz w:val="32"/>
          <w:szCs w:val="32"/>
        </w:rPr>
      </w:pPr>
    </w:p>
    <w:p w:rsidR="00A504A6" w:rsidRPr="00A504A6" w:rsidRDefault="00A504A6" w:rsidP="00A504A6">
      <w:pPr>
        <w:spacing w:after="120" w:line="360" w:lineRule="auto"/>
        <w:rPr>
          <w:color w:val="000000"/>
          <w:sz w:val="44"/>
          <w:szCs w:val="44"/>
        </w:rPr>
      </w:pPr>
    </w:p>
    <w:p w:rsidR="00A504A6" w:rsidRPr="00A504A6" w:rsidRDefault="00A504A6" w:rsidP="00A504A6">
      <w:pPr>
        <w:spacing w:line="360" w:lineRule="auto"/>
        <w:jc w:val="center"/>
        <w:rPr>
          <w:rFonts w:ascii="方正小标宋简体" w:eastAsia="方正小标宋简体" w:hAnsi="宋体" w:cs="宋体"/>
          <w:bCs/>
          <w:color w:val="000000"/>
          <w:kern w:val="36"/>
          <w:sz w:val="44"/>
          <w:szCs w:val="44"/>
        </w:rPr>
      </w:pPr>
      <w:r w:rsidRPr="00A504A6">
        <w:rPr>
          <w:rFonts w:ascii="方正小标宋简体" w:eastAsia="方正小标宋简体" w:hAnsi="宋体" w:hint="eastAsia"/>
          <w:color w:val="000000"/>
          <w:sz w:val="44"/>
          <w:szCs w:val="44"/>
        </w:rPr>
        <w:t>内蒙古自治区</w:t>
      </w:r>
      <w:r w:rsidRPr="00A504A6">
        <w:rPr>
          <w:rFonts w:ascii="方正小标宋简体" w:eastAsia="方正小标宋简体" w:hAnsi="宋体" w:cs="宋体" w:hint="eastAsia"/>
          <w:bCs/>
          <w:color w:val="000000"/>
          <w:kern w:val="36"/>
          <w:sz w:val="44"/>
          <w:szCs w:val="44"/>
        </w:rPr>
        <w:t>新能源装备科技创新</w:t>
      </w:r>
    </w:p>
    <w:p w:rsidR="00A504A6" w:rsidRPr="00A504A6" w:rsidRDefault="00A504A6" w:rsidP="00A504A6">
      <w:pPr>
        <w:spacing w:line="360" w:lineRule="auto"/>
        <w:jc w:val="center"/>
        <w:rPr>
          <w:rFonts w:ascii="方正小标宋简体" w:eastAsia="方正小标宋简体" w:hAnsi="宋体"/>
          <w:color w:val="000000"/>
          <w:sz w:val="44"/>
          <w:szCs w:val="44"/>
        </w:rPr>
      </w:pPr>
      <w:r w:rsidRPr="00A504A6">
        <w:rPr>
          <w:rFonts w:ascii="方正小标宋简体" w:eastAsia="方正小标宋简体" w:hAnsi="宋体" w:cs="宋体" w:hint="eastAsia"/>
          <w:bCs/>
          <w:color w:val="000000"/>
          <w:kern w:val="36"/>
          <w:sz w:val="44"/>
          <w:szCs w:val="44"/>
        </w:rPr>
        <w:t>重大示范工程项目</w:t>
      </w:r>
      <w:r w:rsidRPr="00A504A6">
        <w:rPr>
          <w:rFonts w:ascii="方正小标宋简体" w:eastAsia="方正小标宋简体" w:hAnsi="宋体" w:hint="eastAsia"/>
          <w:color w:val="000000"/>
          <w:sz w:val="44"/>
          <w:szCs w:val="44"/>
        </w:rPr>
        <w:t>技术榜单</w:t>
      </w:r>
    </w:p>
    <w:p w:rsidR="00A504A6" w:rsidRPr="00A504A6" w:rsidRDefault="00A504A6" w:rsidP="00A504A6">
      <w:pPr>
        <w:spacing w:line="360" w:lineRule="auto"/>
        <w:rPr>
          <w:color w:val="000000"/>
          <w:sz w:val="32"/>
          <w:szCs w:val="32"/>
        </w:rPr>
      </w:pPr>
    </w:p>
    <w:p w:rsidR="00A504A6" w:rsidRPr="00A504A6" w:rsidRDefault="00A504A6" w:rsidP="00A504A6">
      <w:pPr>
        <w:spacing w:after="120" w:line="360" w:lineRule="auto"/>
        <w:rPr>
          <w:color w:val="000000"/>
          <w:sz w:val="32"/>
          <w:szCs w:val="32"/>
        </w:rPr>
      </w:pPr>
    </w:p>
    <w:p w:rsidR="00A504A6" w:rsidRPr="00A504A6" w:rsidRDefault="00A504A6" w:rsidP="00A504A6">
      <w:pPr>
        <w:spacing w:after="120" w:line="360" w:lineRule="auto"/>
        <w:rPr>
          <w:color w:val="000000"/>
          <w:sz w:val="32"/>
          <w:szCs w:val="32"/>
        </w:rPr>
      </w:pPr>
    </w:p>
    <w:p w:rsidR="00A504A6" w:rsidRPr="00A504A6" w:rsidRDefault="00A504A6" w:rsidP="00A504A6">
      <w:pPr>
        <w:spacing w:after="120" w:line="360" w:lineRule="auto"/>
        <w:rPr>
          <w:color w:val="000000"/>
          <w:sz w:val="32"/>
          <w:szCs w:val="32"/>
        </w:rPr>
      </w:pPr>
    </w:p>
    <w:p w:rsidR="00A504A6" w:rsidRPr="00A504A6" w:rsidRDefault="00A504A6" w:rsidP="00A504A6">
      <w:pPr>
        <w:spacing w:after="120" w:line="360" w:lineRule="auto"/>
        <w:rPr>
          <w:color w:val="000000"/>
          <w:sz w:val="32"/>
          <w:szCs w:val="32"/>
        </w:rPr>
      </w:pPr>
    </w:p>
    <w:p w:rsidR="00A504A6" w:rsidRPr="00A504A6" w:rsidRDefault="00A504A6" w:rsidP="00A504A6">
      <w:pPr>
        <w:spacing w:after="120" w:line="360" w:lineRule="auto"/>
        <w:rPr>
          <w:color w:val="000000"/>
          <w:sz w:val="32"/>
          <w:szCs w:val="32"/>
        </w:rPr>
      </w:pPr>
    </w:p>
    <w:p w:rsidR="00A504A6" w:rsidRPr="00A504A6" w:rsidRDefault="00A504A6" w:rsidP="00A504A6">
      <w:pPr>
        <w:spacing w:after="120" w:line="360" w:lineRule="auto"/>
        <w:rPr>
          <w:color w:val="000000"/>
          <w:sz w:val="32"/>
          <w:szCs w:val="32"/>
        </w:rPr>
      </w:pPr>
    </w:p>
    <w:p w:rsidR="00A504A6" w:rsidRPr="00A504A6" w:rsidRDefault="00A504A6" w:rsidP="00A504A6">
      <w:pPr>
        <w:spacing w:line="360" w:lineRule="auto"/>
        <w:jc w:val="center"/>
        <w:rPr>
          <w:rFonts w:ascii="楷体_GB2312" w:eastAsia="楷体_GB2312" w:hAnsi="楷体"/>
          <w:color w:val="000000"/>
          <w:sz w:val="32"/>
          <w:szCs w:val="32"/>
        </w:rPr>
      </w:pPr>
    </w:p>
    <w:p w:rsidR="00A504A6" w:rsidRPr="00A504A6" w:rsidRDefault="00A504A6" w:rsidP="00A504A6">
      <w:pPr>
        <w:spacing w:line="360" w:lineRule="auto"/>
        <w:jc w:val="center"/>
        <w:rPr>
          <w:rFonts w:ascii="楷体_GB2312" w:eastAsia="楷体_GB2312" w:hAnsi="楷体"/>
          <w:color w:val="000000"/>
          <w:sz w:val="32"/>
          <w:szCs w:val="32"/>
        </w:rPr>
      </w:pPr>
    </w:p>
    <w:p w:rsidR="00A504A6" w:rsidRPr="00A504A6" w:rsidRDefault="00A504A6" w:rsidP="00A504A6">
      <w:pPr>
        <w:spacing w:line="360" w:lineRule="auto"/>
        <w:jc w:val="center"/>
        <w:rPr>
          <w:rFonts w:ascii="楷体_GB2312" w:eastAsia="楷体_GB2312" w:hAnsi="楷体"/>
          <w:color w:val="000000"/>
          <w:sz w:val="32"/>
          <w:szCs w:val="32"/>
        </w:rPr>
      </w:pPr>
      <w:r w:rsidRPr="00A504A6">
        <w:rPr>
          <w:rFonts w:ascii="楷体_GB2312" w:eastAsia="楷体_GB2312" w:hAnsi="楷体" w:hint="eastAsia"/>
          <w:color w:val="000000"/>
          <w:sz w:val="32"/>
          <w:szCs w:val="32"/>
        </w:rPr>
        <w:t>内蒙古自治区科学技术厅</w:t>
      </w:r>
    </w:p>
    <w:p w:rsidR="00A504A6" w:rsidRPr="00A504A6" w:rsidRDefault="00A504A6" w:rsidP="00A504A6">
      <w:pPr>
        <w:spacing w:line="360" w:lineRule="auto"/>
        <w:jc w:val="center"/>
        <w:rPr>
          <w:rFonts w:ascii="楷体_GB2312" w:eastAsia="楷体_GB2312" w:hAnsi="楷体"/>
          <w:color w:val="000000"/>
          <w:sz w:val="32"/>
          <w:szCs w:val="32"/>
        </w:rPr>
      </w:pPr>
      <w:r w:rsidRPr="00A504A6">
        <w:rPr>
          <w:rFonts w:ascii="楷体_GB2312" w:eastAsia="楷体_GB2312" w:hAnsi="楷体" w:hint="eastAsia"/>
          <w:color w:val="000000"/>
          <w:sz w:val="32"/>
          <w:szCs w:val="32"/>
        </w:rPr>
        <w:t>2023年</w:t>
      </w:r>
      <w:r w:rsidRPr="00A504A6">
        <w:rPr>
          <w:rFonts w:ascii="楷体_GB2312" w:eastAsia="楷体_GB2312" w:hAnsi="楷体"/>
          <w:color w:val="000000"/>
          <w:sz w:val="32"/>
          <w:szCs w:val="32"/>
        </w:rPr>
        <w:t>3</w:t>
      </w:r>
      <w:r w:rsidRPr="00A504A6">
        <w:rPr>
          <w:rFonts w:ascii="楷体_GB2312" w:eastAsia="楷体_GB2312" w:hAnsi="楷体" w:hint="eastAsia"/>
          <w:color w:val="000000"/>
          <w:sz w:val="32"/>
          <w:szCs w:val="32"/>
        </w:rPr>
        <w:t>月</w:t>
      </w:r>
    </w:p>
    <w:p w:rsidR="00A504A6" w:rsidRPr="00A504A6" w:rsidRDefault="00A504A6" w:rsidP="00A504A6">
      <w:pPr>
        <w:adjustRightInd w:val="0"/>
        <w:snapToGrid w:val="0"/>
        <w:spacing w:line="360" w:lineRule="auto"/>
        <w:jc w:val="left"/>
        <w:outlineLvl w:val="0"/>
        <w:rPr>
          <w:rFonts w:ascii="黑体" w:eastAsia="黑体" w:hAnsi="黑体" w:cs="黑体"/>
          <w:color w:val="000000"/>
          <w:sz w:val="32"/>
          <w:szCs w:val="32"/>
        </w:rPr>
      </w:pPr>
      <w:r w:rsidRPr="00A504A6">
        <w:rPr>
          <w:rFonts w:ascii="等线" w:eastAsia="等线" w:hAnsi="等线"/>
          <w:color w:val="000000"/>
          <w:sz w:val="32"/>
          <w:szCs w:val="32"/>
        </w:rPr>
        <w:br w:type="page"/>
      </w:r>
      <w:bookmarkStart w:id="0" w:name="_Toc26987"/>
      <w:r w:rsidRPr="00A504A6">
        <w:rPr>
          <w:rFonts w:ascii="黑体" w:eastAsia="黑体" w:hAnsi="黑体" w:cs="黑体" w:hint="eastAsia"/>
          <w:color w:val="000000"/>
          <w:sz w:val="32"/>
          <w:szCs w:val="32"/>
        </w:rPr>
        <w:lastRenderedPageBreak/>
        <w:t>1</w:t>
      </w:r>
      <w:r w:rsidRPr="00A504A6">
        <w:rPr>
          <w:rFonts w:ascii="黑体" w:eastAsia="黑体" w:hAnsi="黑体" w:cs="黑体"/>
          <w:color w:val="000000"/>
          <w:sz w:val="32"/>
          <w:szCs w:val="32"/>
        </w:rPr>
        <w:t>.</w:t>
      </w:r>
      <w:r w:rsidRPr="00A504A6">
        <w:rPr>
          <w:rFonts w:ascii="黑体" w:eastAsia="黑体" w:hAnsi="黑体" w:cs="黑体" w:hint="eastAsia"/>
          <w:color w:val="000000"/>
          <w:sz w:val="32"/>
          <w:szCs w:val="32"/>
        </w:rPr>
        <w:t>适应</w:t>
      </w:r>
      <w:proofErr w:type="gramStart"/>
      <w:r w:rsidRPr="00A504A6">
        <w:rPr>
          <w:rFonts w:ascii="黑体" w:eastAsia="黑体" w:hAnsi="黑体" w:cs="黑体" w:hint="eastAsia"/>
          <w:color w:val="000000"/>
          <w:sz w:val="32"/>
          <w:szCs w:val="32"/>
        </w:rPr>
        <w:t>宽范围</w:t>
      </w:r>
      <w:proofErr w:type="gramEnd"/>
      <w:r w:rsidRPr="00A504A6">
        <w:rPr>
          <w:rFonts w:ascii="黑体" w:eastAsia="黑体" w:hAnsi="黑体" w:cs="黑体" w:hint="eastAsia"/>
          <w:color w:val="000000"/>
          <w:sz w:val="32"/>
          <w:szCs w:val="32"/>
        </w:rPr>
        <w:t>功率波动的千标方级电解水制氢关键装备研制与示范应用</w:t>
      </w:r>
      <w:bookmarkEnd w:id="0"/>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color w:val="000000"/>
          <w:sz w:val="32"/>
          <w:szCs w:val="32"/>
        </w:rPr>
      </w:pPr>
      <w:r w:rsidRPr="00A504A6">
        <w:rPr>
          <w:rFonts w:ascii="仿宋_GB2312" w:eastAsia="仿宋_GB2312" w:hAnsi="仿宋" w:cs="仿宋_GB2312" w:hint="eastAsia"/>
          <w:b/>
          <w:color w:val="000000"/>
          <w:sz w:val="32"/>
          <w:szCs w:val="32"/>
        </w:rPr>
        <w:t>研究内容：</w:t>
      </w:r>
      <w:r w:rsidRPr="00A504A6">
        <w:rPr>
          <w:rFonts w:ascii="仿宋_GB2312" w:eastAsia="仿宋_GB2312" w:hAnsi="仿宋" w:cs="仿宋_GB2312" w:hint="eastAsia"/>
          <w:color w:val="000000"/>
          <w:sz w:val="32"/>
          <w:szCs w:val="32"/>
        </w:rPr>
        <w:t>风光电力电解水制氢是自治区“十四五”期间培育与发展的重点行业。针对现有千标方级大型碱性制氢机组存在着启动时间长、功率</w:t>
      </w:r>
      <w:proofErr w:type="gramStart"/>
      <w:r w:rsidRPr="00A504A6">
        <w:rPr>
          <w:rFonts w:ascii="仿宋_GB2312" w:eastAsia="仿宋_GB2312" w:hAnsi="仿宋" w:cs="仿宋_GB2312" w:hint="eastAsia"/>
          <w:color w:val="000000"/>
          <w:sz w:val="32"/>
          <w:szCs w:val="32"/>
        </w:rPr>
        <w:t>调节范围窄与动态</w:t>
      </w:r>
      <w:proofErr w:type="gramEnd"/>
      <w:r w:rsidRPr="00A504A6">
        <w:rPr>
          <w:rFonts w:ascii="仿宋_GB2312" w:eastAsia="仿宋_GB2312" w:hAnsi="仿宋" w:cs="仿宋_GB2312" w:hint="eastAsia"/>
          <w:color w:val="000000"/>
          <w:sz w:val="32"/>
          <w:szCs w:val="32"/>
        </w:rPr>
        <w:t>调控稳定性差等问题，研究解决适应风光电力</w:t>
      </w:r>
      <w:proofErr w:type="gramStart"/>
      <w:r w:rsidRPr="00A504A6">
        <w:rPr>
          <w:rFonts w:ascii="仿宋_GB2312" w:eastAsia="仿宋_GB2312" w:hAnsi="仿宋" w:cs="仿宋_GB2312" w:hint="eastAsia"/>
          <w:color w:val="000000"/>
          <w:sz w:val="32"/>
          <w:szCs w:val="32"/>
        </w:rPr>
        <w:t>宽范围</w:t>
      </w:r>
      <w:proofErr w:type="gramEnd"/>
      <w:r w:rsidRPr="00A504A6">
        <w:rPr>
          <w:rFonts w:ascii="仿宋_GB2312" w:eastAsia="仿宋_GB2312" w:hAnsi="仿宋" w:cs="仿宋_GB2312" w:hint="eastAsia"/>
          <w:color w:val="000000"/>
          <w:sz w:val="32"/>
          <w:szCs w:val="32"/>
        </w:rPr>
        <w:t>波动下的高效低成本制氢技术，研究设计大型碱性制氢机组，通过测试与运行制定相关技术标准与规范。研制具备离网、变负载运行能力的制氢装置，满足自治区大力推进风光制氢一体化需求。</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color w:val="000000"/>
          <w:sz w:val="32"/>
          <w:szCs w:val="32"/>
        </w:rPr>
      </w:pPr>
      <w:r w:rsidRPr="00A504A6">
        <w:rPr>
          <w:rFonts w:ascii="仿宋_GB2312" w:eastAsia="仿宋_GB2312" w:hAnsi="仿宋" w:cs="仿宋_GB2312" w:hint="eastAsia"/>
          <w:b/>
          <w:color w:val="000000"/>
          <w:sz w:val="32"/>
          <w:szCs w:val="32"/>
        </w:rPr>
        <w:t>考核指标：</w:t>
      </w:r>
      <w:r w:rsidRPr="00A504A6">
        <w:rPr>
          <w:rFonts w:ascii="仿宋_GB2312" w:eastAsia="仿宋_GB2312" w:hAnsi="仿宋" w:cs="仿宋_GB2312" w:hint="eastAsia"/>
          <w:color w:val="000000"/>
          <w:sz w:val="32"/>
          <w:szCs w:val="32"/>
        </w:rPr>
        <w:t>千标方碱性制氢机组实现5-140%的</w:t>
      </w:r>
      <w:proofErr w:type="gramStart"/>
      <w:r w:rsidRPr="00A504A6">
        <w:rPr>
          <w:rFonts w:ascii="仿宋_GB2312" w:eastAsia="仿宋_GB2312" w:hAnsi="仿宋" w:cs="仿宋_GB2312" w:hint="eastAsia"/>
          <w:color w:val="000000"/>
          <w:sz w:val="32"/>
          <w:szCs w:val="32"/>
        </w:rPr>
        <w:t>宽范围</w:t>
      </w:r>
      <w:proofErr w:type="gramEnd"/>
      <w:r w:rsidRPr="00A504A6">
        <w:rPr>
          <w:rFonts w:ascii="仿宋_GB2312" w:eastAsia="仿宋_GB2312" w:hAnsi="仿宋" w:cs="仿宋_GB2312" w:hint="eastAsia"/>
          <w:color w:val="000000"/>
          <w:sz w:val="32"/>
          <w:szCs w:val="32"/>
        </w:rPr>
        <w:t>功率调节，制氢变负载运行能力不低于30%p.u./s；制氢电源在5-140%功率调节范围内，输出直流纹波不高于3%，加权效率不低于97%；电解槽冷启动时间小于5分钟；额定制氢条件下，直流电耗不高于4.3kWh/Nm</w:t>
      </w:r>
      <w:r w:rsidRPr="00A504A6">
        <w:rPr>
          <w:rFonts w:ascii="仿宋_GB2312" w:eastAsia="仿宋_GB2312" w:hAnsi="仿宋" w:cs="仿宋_GB2312" w:hint="eastAsia"/>
          <w:color w:val="000000"/>
          <w:sz w:val="32"/>
          <w:szCs w:val="32"/>
          <w:vertAlign w:val="superscript"/>
        </w:rPr>
        <w:t>3</w:t>
      </w:r>
      <w:r w:rsidRPr="00A504A6">
        <w:rPr>
          <w:rFonts w:ascii="仿宋_GB2312" w:eastAsia="仿宋_GB2312" w:hAnsi="仿宋" w:cs="仿宋_GB2312" w:hint="eastAsia"/>
          <w:color w:val="000000"/>
          <w:sz w:val="32"/>
          <w:szCs w:val="32"/>
        </w:rPr>
        <w:t>@8000A/m</w:t>
      </w:r>
      <w:r w:rsidRPr="00A504A6">
        <w:rPr>
          <w:rFonts w:ascii="仿宋_GB2312" w:eastAsia="仿宋_GB2312" w:hAnsi="仿宋" w:cs="仿宋_GB2312" w:hint="eastAsia"/>
          <w:color w:val="000000"/>
          <w:sz w:val="32"/>
          <w:szCs w:val="32"/>
          <w:vertAlign w:val="superscript"/>
        </w:rPr>
        <w:t>2</w:t>
      </w:r>
      <w:r w:rsidRPr="00A504A6">
        <w:rPr>
          <w:rFonts w:ascii="仿宋_GB2312" w:eastAsia="仿宋_GB2312" w:hAnsi="仿宋" w:cs="仿宋_GB2312" w:hint="eastAsia"/>
          <w:color w:val="000000"/>
          <w:sz w:val="32"/>
          <w:szCs w:val="32"/>
        </w:rPr>
        <w:t>；研制符合上述性能指标的千标方制氢样机一台；建立千标方级别电解水制氢暂/动/静态性能综合检验测试平台；编制制氢机组暂/动/静态运行测试标准一项。</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b/>
          <w:color w:val="000000"/>
          <w:sz w:val="32"/>
          <w:szCs w:val="32"/>
        </w:rPr>
      </w:pPr>
      <w:r w:rsidRPr="00A504A6">
        <w:rPr>
          <w:rFonts w:ascii="仿宋_GB2312" w:eastAsia="仿宋_GB2312" w:hAnsi="仿宋" w:cs="仿宋_GB2312" w:hint="eastAsia"/>
          <w:b/>
          <w:color w:val="000000"/>
          <w:sz w:val="32"/>
          <w:szCs w:val="32"/>
        </w:rPr>
        <w:t>拟实施期限：</w:t>
      </w:r>
      <w:r w:rsidRPr="00A504A6">
        <w:rPr>
          <w:rFonts w:ascii="仿宋_GB2312" w:eastAsia="仿宋_GB2312" w:hAnsi="仿宋" w:cs="仿宋_GB2312" w:hint="eastAsia"/>
          <w:color w:val="000000"/>
          <w:sz w:val="32"/>
          <w:szCs w:val="32"/>
        </w:rPr>
        <w:t>不超过3年</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b/>
          <w:color w:val="000000"/>
          <w:sz w:val="32"/>
          <w:szCs w:val="32"/>
        </w:rPr>
      </w:pPr>
      <w:r w:rsidRPr="00A504A6">
        <w:rPr>
          <w:rFonts w:ascii="仿宋_GB2312" w:eastAsia="仿宋_GB2312" w:hAnsi="仿宋" w:cs="仿宋_GB2312" w:hint="eastAsia"/>
          <w:b/>
          <w:color w:val="000000"/>
          <w:sz w:val="32"/>
          <w:szCs w:val="32"/>
        </w:rPr>
        <w:t>财政预算投入：</w:t>
      </w:r>
      <w:r w:rsidRPr="00A504A6">
        <w:rPr>
          <w:rFonts w:ascii="仿宋_GB2312" w:eastAsia="仿宋_GB2312" w:hAnsi="仿宋" w:cs="仿宋_GB2312" w:hint="eastAsia"/>
          <w:color w:val="000000"/>
          <w:sz w:val="32"/>
          <w:szCs w:val="32"/>
        </w:rPr>
        <w:t>1000万元</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b/>
          <w:color w:val="000000"/>
          <w:sz w:val="32"/>
          <w:szCs w:val="32"/>
        </w:rPr>
      </w:pPr>
    </w:p>
    <w:p w:rsidR="00A504A6" w:rsidRPr="00A504A6" w:rsidRDefault="00A504A6" w:rsidP="00A504A6">
      <w:pPr>
        <w:adjustRightInd w:val="0"/>
        <w:snapToGrid w:val="0"/>
        <w:spacing w:line="300" w:lineRule="auto"/>
        <w:ind w:firstLineChars="200" w:firstLine="640"/>
        <w:jc w:val="left"/>
        <w:outlineLvl w:val="2"/>
        <w:rPr>
          <w:rFonts w:ascii="黑体" w:eastAsia="黑体" w:hAnsi="黑体" w:cs="黑体" w:hint="eastAsia"/>
          <w:color w:val="000000"/>
          <w:sz w:val="32"/>
          <w:szCs w:val="32"/>
        </w:rPr>
      </w:pPr>
      <w:bookmarkStart w:id="1" w:name="_Toc14875"/>
      <w:r w:rsidRPr="00A504A6">
        <w:rPr>
          <w:rFonts w:ascii="黑体" w:eastAsia="黑体" w:hAnsi="黑体" w:cs="黑体" w:hint="eastAsia"/>
          <w:color w:val="000000"/>
          <w:sz w:val="32"/>
          <w:szCs w:val="32"/>
        </w:rPr>
        <w:t>2.高效N型单晶硅棒硅片产品全序提效降本关键技术研究及示范应用</w:t>
      </w:r>
    </w:p>
    <w:p w:rsidR="00A504A6" w:rsidRPr="00A504A6" w:rsidRDefault="00A504A6" w:rsidP="00A504A6">
      <w:pPr>
        <w:ind w:firstLineChars="200" w:firstLine="643"/>
        <w:rPr>
          <w:rFonts w:ascii="仿宋_GB2312" w:eastAsia="仿宋_GB2312" w:hAnsi="仿宋" w:hint="eastAsia"/>
          <w:color w:val="000000"/>
          <w:sz w:val="32"/>
          <w:szCs w:val="32"/>
        </w:rPr>
      </w:pPr>
      <w:r w:rsidRPr="00A504A6">
        <w:rPr>
          <w:rFonts w:ascii="仿宋_GB2312" w:eastAsia="仿宋_GB2312" w:hAnsi="仿宋" w:hint="eastAsia"/>
          <w:b/>
          <w:bCs/>
          <w:color w:val="000000"/>
          <w:sz w:val="32"/>
          <w:szCs w:val="32"/>
        </w:rPr>
        <w:t>研究内容:</w:t>
      </w:r>
      <w:r w:rsidRPr="00A504A6">
        <w:rPr>
          <w:rFonts w:ascii="仿宋_GB2312" w:eastAsia="仿宋_GB2312" w:hAnsi="仿宋" w:hint="eastAsia"/>
          <w:color w:val="000000"/>
          <w:sz w:val="32"/>
          <w:szCs w:val="32"/>
        </w:rPr>
        <w:t>基于现行光伏电池片组件由P型向N型转型升级的契机及N型电池转换效率优势，开展加大N型高效单晶硅棒硅片产品的全序提效降本技术研究，重点在超大型单</w:t>
      </w:r>
      <w:r w:rsidRPr="00A504A6">
        <w:rPr>
          <w:rFonts w:ascii="仿宋_GB2312" w:eastAsia="仿宋_GB2312" w:hAnsi="仿宋" w:hint="eastAsia"/>
          <w:color w:val="000000"/>
          <w:sz w:val="32"/>
          <w:szCs w:val="32"/>
        </w:rPr>
        <w:lastRenderedPageBreak/>
        <w:t>晶炉热场开发、低能耗</w:t>
      </w:r>
      <w:proofErr w:type="gramStart"/>
      <w:r w:rsidRPr="00A504A6">
        <w:rPr>
          <w:rFonts w:ascii="仿宋_GB2312" w:eastAsia="仿宋_GB2312" w:hAnsi="仿宋" w:hint="eastAsia"/>
          <w:color w:val="000000"/>
          <w:sz w:val="32"/>
          <w:szCs w:val="32"/>
        </w:rPr>
        <w:t>热力场</w:t>
      </w:r>
      <w:proofErr w:type="gramEnd"/>
      <w:r w:rsidRPr="00A504A6">
        <w:rPr>
          <w:rFonts w:ascii="仿宋_GB2312" w:eastAsia="仿宋_GB2312" w:hAnsi="仿宋" w:hint="eastAsia"/>
          <w:color w:val="000000"/>
          <w:sz w:val="32"/>
          <w:szCs w:val="32"/>
        </w:rPr>
        <w:t>设计及推广示范、N型超低氧技术研究、金刚线</w:t>
      </w:r>
      <w:proofErr w:type="gramStart"/>
      <w:r w:rsidRPr="00A504A6">
        <w:rPr>
          <w:rFonts w:ascii="仿宋_GB2312" w:eastAsia="仿宋_GB2312" w:hAnsi="仿宋" w:hint="eastAsia"/>
          <w:color w:val="000000"/>
          <w:sz w:val="32"/>
          <w:szCs w:val="32"/>
        </w:rPr>
        <w:t>细线化</w:t>
      </w:r>
      <w:proofErr w:type="gramEnd"/>
      <w:r w:rsidRPr="00A504A6">
        <w:rPr>
          <w:rFonts w:ascii="仿宋_GB2312" w:eastAsia="仿宋_GB2312" w:hAnsi="仿宋" w:hint="eastAsia"/>
          <w:color w:val="000000"/>
          <w:sz w:val="32"/>
          <w:szCs w:val="32"/>
        </w:rPr>
        <w:t>及切片工艺研发等方向实现技术突破，形成产业化示范应用。围绕大尺寸N型单晶硅棒硅片全序提效降本关键技术，重点开展：超大型热场设计研发，突破37</w:t>
      </w:r>
      <w:proofErr w:type="gramStart"/>
      <w:r w:rsidRPr="00A504A6">
        <w:rPr>
          <w:rFonts w:ascii="微软雅黑" w:eastAsia="微软雅黑" w:hAnsi="微软雅黑" w:cs="微软雅黑" w:hint="eastAsia"/>
          <w:color w:val="000000"/>
          <w:sz w:val="32"/>
          <w:szCs w:val="32"/>
        </w:rPr>
        <w:t>吋</w:t>
      </w:r>
      <w:r w:rsidRPr="00A504A6">
        <w:rPr>
          <w:rFonts w:ascii="仿宋_GB2312" w:eastAsia="仿宋_GB2312" w:hAnsi="仿宋_GB2312" w:cs="仿宋_GB2312" w:hint="eastAsia"/>
          <w:color w:val="000000"/>
          <w:sz w:val="32"/>
          <w:szCs w:val="32"/>
        </w:rPr>
        <w:t>超大型</w:t>
      </w:r>
      <w:proofErr w:type="gramEnd"/>
      <w:r w:rsidRPr="00A504A6">
        <w:rPr>
          <w:rFonts w:ascii="仿宋_GB2312" w:eastAsia="仿宋_GB2312" w:hAnsi="仿宋_GB2312" w:cs="仿宋_GB2312" w:hint="eastAsia"/>
          <w:color w:val="000000"/>
          <w:sz w:val="32"/>
          <w:szCs w:val="32"/>
        </w:rPr>
        <w:t>热场开发应用及单炉投料量</w:t>
      </w:r>
      <w:r w:rsidRPr="00A504A6">
        <w:rPr>
          <w:rFonts w:ascii="仿宋_GB2312" w:eastAsia="仿宋_GB2312" w:hAnsi="仿宋" w:hint="eastAsia"/>
          <w:color w:val="000000"/>
          <w:sz w:val="32"/>
          <w:szCs w:val="32"/>
        </w:rPr>
        <w:t>4-5t技术；通过重新设计热场系统，优化拉晶工艺，实现低功耗热场系统的示范应用；低氧技术研究；超细金刚线及其切片工艺研发。</w:t>
      </w:r>
    </w:p>
    <w:p w:rsidR="00A504A6" w:rsidRPr="00A504A6" w:rsidRDefault="00A504A6" w:rsidP="00A504A6">
      <w:pPr>
        <w:ind w:firstLineChars="200" w:firstLine="643"/>
        <w:rPr>
          <w:rFonts w:ascii="仿宋_GB2312" w:eastAsia="仿宋_GB2312" w:hAnsi="仿宋" w:hint="eastAsia"/>
          <w:bCs/>
          <w:color w:val="000000"/>
          <w:sz w:val="32"/>
          <w:szCs w:val="32"/>
        </w:rPr>
      </w:pPr>
      <w:r w:rsidRPr="00A504A6">
        <w:rPr>
          <w:rFonts w:ascii="仿宋_GB2312" w:eastAsia="仿宋_GB2312" w:hAnsi="仿宋" w:hint="eastAsia"/>
          <w:b/>
          <w:bCs/>
          <w:color w:val="000000"/>
          <w:sz w:val="32"/>
          <w:szCs w:val="32"/>
        </w:rPr>
        <w:t>预期目标：</w:t>
      </w:r>
      <w:r w:rsidRPr="00A504A6">
        <w:rPr>
          <w:rFonts w:ascii="仿宋_GB2312" w:eastAsia="仿宋_GB2312" w:hAnsi="仿宋" w:hint="eastAsia"/>
          <w:color w:val="000000"/>
          <w:sz w:val="32"/>
          <w:szCs w:val="32"/>
        </w:rPr>
        <w:t>一年目标：以高效N型大尺寸（≥182mm）单晶硅片为研究基础，实现37</w:t>
      </w:r>
      <w:proofErr w:type="gramStart"/>
      <w:r w:rsidRPr="00A504A6">
        <w:rPr>
          <w:rFonts w:ascii="微软雅黑" w:eastAsia="微软雅黑" w:hAnsi="微软雅黑" w:cs="微软雅黑" w:hint="eastAsia"/>
          <w:color w:val="000000"/>
          <w:sz w:val="32"/>
          <w:szCs w:val="32"/>
        </w:rPr>
        <w:t>吋</w:t>
      </w:r>
      <w:r w:rsidRPr="00A504A6">
        <w:rPr>
          <w:rFonts w:ascii="仿宋_GB2312" w:eastAsia="仿宋_GB2312" w:hAnsi="仿宋_GB2312" w:cs="仿宋_GB2312" w:hint="eastAsia"/>
          <w:color w:val="000000"/>
          <w:sz w:val="32"/>
          <w:szCs w:val="32"/>
        </w:rPr>
        <w:t>超大型</w:t>
      </w:r>
      <w:proofErr w:type="gramEnd"/>
      <w:r w:rsidRPr="00A504A6">
        <w:rPr>
          <w:rFonts w:ascii="仿宋_GB2312" w:eastAsia="仿宋_GB2312" w:hAnsi="仿宋_GB2312" w:cs="仿宋_GB2312" w:hint="eastAsia"/>
          <w:color w:val="000000"/>
          <w:sz w:val="32"/>
          <w:szCs w:val="32"/>
        </w:rPr>
        <w:t>热场的小中试应用及量产推广，单晶硅单炉投料量突破至</w:t>
      </w:r>
      <w:r w:rsidRPr="00A504A6">
        <w:rPr>
          <w:rFonts w:ascii="仿宋_GB2312" w:eastAsia="仿宋_GB2312" w:hAnsi="仿宋" w:hint="eastAsia"/>
          <w:color w:val="000000"/>
          <w:sz w:val="32"/>
          <w:szCs w:val="32"/>
        </w:rPr>
        <w:t>4-5t；大热场单晶硅棒等径功率≤45KW，N型氧含量中试水平≤10ppma，实现32um金刚线的中试应用，单晶硅棒硅片制备技术达到行业绝对领先能力。三年目标：以N型</w:t>
      </w:r>
      <w:proofErr w:type="gramStart"/>
      <w:r w:rsidRPr="00A504A6">
        <w:rPr>
          <w:rFonts w:ascii="仿宋_GB2312" w:eastAsia="仿宋_GB2312" w:hAnsi="仿宋" w:hint="eastAsia"/>
          <w:color w:val="000000"/>
          <w:sz w:val="32"/>
          <w:szCs w:val="32"/>
        </w:rPr>
        <w:t>高效大</w:t>
      </w:r>
      <w:proofErr w:type="gramEnd"/>
      <w:r w:rsidRPr="00A504A6">
        <w:rPr>
          <w:rFonts w:ascii="仿宋_GB2312" w:eastAsia="仿宋_GB2312" w:hAnsi="仿宋" w:hint="eastAsia"/>
          <w:color w:val="000000"/>
          <w:sz w:val="32"/>
          <w:szCs w:val="32"/>
        </w:rPr>
        <w:t>尺寸（≥182mm）单晶硅片为基础，实现N型高效单晶硅棒、硅片年产能≥15GW；实现37</w:t>
      </w:r>
      <w:proofErr w:type="gramStart"/>
      <w:r w:rsidRPr="00A504A6">
        <w:rPr>
          <w:rFonts w:ascii="微软雅黑" w:eastAsia="微软雅黑" w:hAnsi="微软雅黑" w:cs="微软雅黑" w:hint="eastAsia"/>
          <w:color w:val="000000"/>
          <w:sz w:val="32"/>
          <w:szCs w:val="32"/>
        </w:rPr>
        <w:t>吋</w:t>
      </w:r>
      <w:r w:rsidRPr="00A504A6">
        <w:rPr>
          <w:rFonts w:ascii="仿宋_GB2312" w:eastAsia="仿宋_GB2312" w:hAnsi="仿宋_GB2312" w:cs="仿宋_GB2312" w:hint="eastAsia"/>
          <w:color w:val="000000"/>
          <w:sz w:val="32"/>
          <w:szCs w:val="32"/>
        </w:rPr>
        <w:t>超大型</w:t>
      </w:r>
      <w:proofErr w:type="gramEnd"/>
      <w:r w:rsidRPr="00A504A6">
        <w:rPr>
          <w:rFonts w:ascii="仿宋_GB2312" w:eastAsia="仿宋_GB2312" w:hAnsi="仿宋_GB2312" w:cs="仿宋_GB2312" w:hint="eastAsia"/>
          <w:color w:val="000000"/>
          <w:sz w:val="32"/>
          <w:szCs w:val="32"/>
        </w:rPr>
        <w:t>热场单晶硅棒单炉投料量</w:t>
      </w:r>
      <w:r w:rsidRPr="00A504A6">
        <w:rPr>
          <w:rFonts w:ascii="仿宋_GB2312" w:eastAsia="仿宋_GB2312" w:hAnsi="仿宋" w:hint="eastAsia"/>
          <w:color w:val="000000"/>
          <w:sz w:val="32"/>
          <w:szCs w:val="32"/>
        </w:rPr>
        <w:t>4-5t（行业水平3t），等径功率≤40KW（行业水平65KW），N型氧含量≤10ppma（行业水平12ppma），30um金刚线（行业水平34um）的量产应用。</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b/>
          <w:color w:val="000000"/>
          <w:sz w:val="32"/>
          <w:szCs w:val="32"/>
        </w:rPr>
      </w:pPr>
      <w:r w:rsidRPr="00A504A6">
        <w:rPr>
          <w:rFonts w:ascii="仿宋_GB2312" w:eastAsia="仿宋_GB2312" w:hAnsi="仿宋" w:cs="仿宋_GB2312" w:hint="eastAsia"/>
          <w:b/>
          <w:color w:val="000000"/>
          <w:sz w:val="32"/>
          <w:szCs w:val="32"/>
        </w:rPr>
        <w:t>拟实施期限：</w:t>
      </w:r>
      <w:r w:rsidRPr="00A504A6">
        <w:rPr>
          <w:rFonts w:ascii="仿宋_GB2312" w:eastAsia="仿宋_GB2312" w:hAnsi="仿宋" w:cs="仿宋_GB2312" w:hint="eastAsia"/>
          <w:color w:val="000000"/>
          <w:sz w:val="32"/>
          <w:szCs w:val="32"/>
        </w:rPr>
        <w:t>不超过3年</w:t>
      </w:r>
    </w:p>
    <w:p w:rsidR="00A504A6" w:rsidRPr="00A504A6" w:rsidRDefault="00A504A6" w:rsidP="00A504A6">
      <w:pPr>
        <w:ind w:firstLineChars="200" w:firstLine="643"/>
        <w:rPr>
          <w:rFonts w:ascii="仿宋_GB2312" w:eastAsia="仿宋_GB2312" w:hAnsi="仿宋" w:cs="仿宋_GB2312" w:hint="eastAsia"/>
          <w:color w:val="000000"/>
          <w:sz w:val="32"/>
          <w:szCs w:val="32"/>
        </w:rPr>
      </w:pPr>
      <w:r w:rsidRPr="00A504A6">
        <w:rPr>
          <w:rFonts w:ascii="仿宋_GB2312" w:eastAsia="仿宋_GB2312" w:hAnsi="仿宋" w:cs="仿宋_GB2312" w:hint="eastAsia"/>
          <w:b/>
          <w:color w:val="000000"/>
          <w:sz w:val="32"/>
          <w:szCs w:val="32"/>
        </w:rPr>
        <w:t>财政预算投入：</w:t>
      </w:r>
      <w:r w:rsidRPr="00A504A6">
        <w:rPr>
          <w:rFonts w:ascii="仿宋_GB2312" w:eastAsia="仿宋_GB2312" w:hAnsi="仿宋" w:cs="仿宋_GB2312" w:hint="eastAsia"/>
          <w:color w:val="000000"/>
          <w:sz w:val="32"/>
          <w:szCs w:val="32"/>
        </w:rPr>
        <w:t>1000万元</w:t>
      </w:r>
    </w:p>
    <w:p w:rsidR="00A504A6" w:rsidRPr="00A504A6" w:rsidRDefault="00A504A6" w:rsidP="00A504A6">
      <w:pPr>
        <w:ind w:firstLineChars="200" w:firstLine="643"/>
        <w:rPr>
          <w:rFonts w:ascii="仿宋_GB2312" w:eastAsia="仿宋_GB2312" w:hAnsi="仿宋" w:hint="eastAsia"/>
          <w:b/>
          <w:bCs/>
          <w:color w:val="000000"/>
          <w:sz w:val="32"/>
          <w:szCs w:val="32"/>
        </w:rPr>
      </w:pPr>
    </w:p>
    <w:p w:rsidR="00A504A6" w:rsidRPr="00A504A6" w:rsidRDefault="00A504A6" w:rsidP="00A504A6">
      <w:pPr>
        <w:adjustRightInd w:val="0"/>
        <w:snapToGrid w:val="0"/>
        <w:spacing w:line="300" w:lineRule="auto"/>
        <w:ind w:firstLineChars="200" w:firstLine="640"/>
        <w:jc w:val="left"/>
        <w:outlineLvl w:val="2"/>
        <w:rPr>
          <w:rFonts w:ascii="黑体" w:eastAsia="黑体" w:hAnsi="黑体" w:cs="黑体" w:hint="eastAsia"/>
          <w:color w:val="000000"/>
          <w:sz w:val="32"/>
          <w:szCs w:val="32"/>
        </w:rPr>
      </w:pPr>
      <w:bookmarkStart w:id="2" w:name="_Toc30934"/>
      <w:r w:rsidRPr="00A504A6">
        <w:rPr>
          <w:rFonts w:ascii="黑体" w:eastAsia="黑体" w:hAnsi="黑体" w:cs="黑体" w:hint="eastAsia"/>
          <w:color w:val="000000"/>
          <w:sz w:val="32"/>
          <w:szCs w:val="32"/>
        </w:rPr>
        <w:t>3</w:t>
      </w:r>
      <w:bookmarkStart w:id="3" w:name="_Toc10644"/>
      <w:bookmarkEnd w:id="2"/>
      <w:r w:rsidRPr="00A504A6">
        <w:rPr>
          <w:rFonts w:ascii="黑体" w:eastAsia="黑体" w:hAnsi="黑体" w:cs="黑体" w:hint="eastAsia"/>
          <w:color w:val="000000"/>
          <w:sz w:val="32"/>
          <w:szCs w:val="32"/>
        </w:rPr>
        <w:t>.基于高温储热</w:t>
      </w:r>
      <w:proofErr w:type="gramStart"/>
      <w:r w:rsidRPr="00A504A6">
        <w:rPr>
          <w:rFonts w:ascii="黑体" w:eastAsia="黑体" w:hAnsi="黑体" w:cs="黑体" w:hint="eastAsia"/>
          <w:color w:val="000000"/>
          <w:sz w:val="32"/>
          <w:szCs w:val="32"/>
        </w:rPr>
        <w:t>的热功转换</w:t>
      </w:r>
      <w:proofErr w:type="gramEnd"/>
      <w:r w:rsidRPr="00A504A6">
        <w:rPr>
          <w:rFonts w:ascii="黑体" w:eastAsia="黑体" w:hAnsi="黑体" w:cs="黑体" w:hint="eastAsia"/>
          <w:color w:val="000000"/>
          <w:sz w:val="32"/>
          <w:szCs w:val="32"/>
        </w:rPr>
        <w:t>发电系统研究与示范</w:t>
      </w:r>
      <w:bookmarkEnd w:id="3"/>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color w:val="000000"/>
          <w:sz w:val="32"/>
          <w:szCs w:val="32"/>
        </w:rPr>
      </w:pPr>
      <w:r w:rsidRPr="00A504A6">
        <w:rPr>
          <w:rFonts w:ascii="仿宋_GB2312" w:eastAsia="仿宋_GB2312" w:hAnsi="仿宋" w:cs="楷体" w:hint="eastAsia"/>
          <w:b/>
          <w:bCs/>
          <w:color w:val="000000"/>
          <w:sz w:val="32"/>
          <w:szCs w:val="32"/>
        </w:rPr>
        <w:t>研究内容：</w:t>
      </w:r>
      <w:r w:rsidRPr="00A504A6">
        <w:rPr>
          <w:rFonts w:ascii="仿宋_GB2312" w:eastAsia="仿宋_GB2312" w:hAnsi="仿宋" w:cs="仿宋_GB2312" w:hint="eastAsia"/>
          <w:color w:val="000000"/>
          <w:sz w:val="32"/>
          <w:szCs w:val="32"/>
        </w:rPr>
        <w:t>开发具有自主知识产权高温储热和</w:t>
      </w:r>
      <w:proofErr w:type="gramStart"/>
      <w:r w:rsidRPr="00A504A6">
        <w:rPr>
          <w:rFonts w:ascii="仿宋_GB2312" w:eastAsia="仿宋_GB2312" w:hAnsi="仿宋" w:cs="仿宋_GB2312" w:hint="eastAsia"/>
          <w:color w:val="000000"/>
          <w:sz w:val="32"/>
          <w:szCs w:val="32"/>
        </w:rPr>
        <w:t>高效热功转换</w:t>
      </w:r>
      <w:proofErr w:type="gramEnd"/>
      <w:r w:rsidRPr="00A504A6">
        <w:rPr>
          <w:rFonts w:ascii="仿宋_GB2312" w:eastAsia="仿宋_GB2312" w:hAnsi="仿宋" w:cs="仿宋_GB2312" w:hint="eastAsia"/>
          <w:color w:val="000000"/>
          <w:sz w:val="32"/>
          <w:szCs w:val="32"/>
        </w:rPr>
        <w:t>发电系统技术，攻克</w:t>
      </w:r>
      <w:r w:rsidRPr="00A504A6">
        <w:rPr>
          <w:rFonts w:ascii="仿宋_GB2312" w:eastAsia="仿宋_GB2312" w:hAnsi="仿宋" w:cs="仿宋_GB2312" w:hint="eastAsia"/>
          <w:bCs/>
          <w:color w:val="000000"/>
          <w:sz w:val="32"/>
          <w:szCs w:val="32"/>
        </w:rPr>
        <w:t>高温电加热技术</w:t>
      </w:r>
      <w:r w:rsidRPr="00A504A6">
        <w:rPr>
          <w:rFonts w:ascii="仿宋_GB2312" w:eastAsia="仿宋_GB2312" w:hAnsi="仿宋" w:cs="仿宋_GB2312" w:hint="eastAsia"/>
          <w:color w:val="000000"/>
          <w:sz w:val="32"/>
          <w:szCs w:val="32"/>
        </w:rPr>
        <w:t>，研究瞬态高热流</w:t>
      </w:r>
      <w:r w:rsidRPr="00A504A6">
        <w:rPr>
          <w:rFonts w:ascii="仿宋_GB2312" w:eastAsia="仿宋_GB2312" w:hAnsi="仿宋" w:cs="仿宋_GB2312" w:hint="eastAsia"/>
          <w:color w:val="000000"/>
          <w:sz w:val="32"/>
          <w:szCs w:val="32"/>
        </w:rPr>
        <w:lastRenderedPageBreak/>
        <w:t>通量下的高效电热转换机理与调控特性，加热器件在高压高电流下的电绝缘机理及防治方法，大功率电磁感应加热下电磁场与受热流体间传热与流动过程耦合特性，大功率电加热系统集成与运行调控技术。研发</w:t>
      </w:r>
      <w:r w:rsidRPr="00A504A6">
        <w:rPr>
          <w:rFonts w:ascii="仿宋_GB2312" w:eastAsia="仿宋_GB2312" w:hAnsi="仿宋" w:cs="仿宋_GB2312" w:hint="eastAsia"/>
          <w:bCs/>
          <w:color w:val="000000"/>
          <w:sz w:val="32"/>
          <w:szCs w:val="32"/>
        </w:rPr>
        <w:t>“电-热-电”能量高效转化技术，研究</w:t>
      </w:r>
      <w:r w:rsidRPr="00A504A6">
        <w:rPr>
          <w:rFonts w:ascii="仿宋_GB2312" w:eastAsia="仿宋_GB2312" w:hAnsi="仿宋" w:cs="仿宋_GB2312" w:hint="eastAsia"/>
          <w:color w:val="000000"/>
          <w:sz w:val="32"/>
          <w:szCs w:val="32"/>
        </w:rPr>
        <w:t>高温储热材料力学、传热特性、耐蚀性和失效机制，研制可适用于800℃以上的高温储热材料，研发与储热材料特性相适应的强化传热技术、储热技术、高效循环压缩机和透平和高效换热设备（包括加热器、回热器、冷却器）。研究能量</w:t>
      </w:r>
      <w:r w:rsidRPr="00A504A6">
        <w:rPr>
          <w:rFonts w:ascii="仿宋_GB2312" w:eastAsia="仿宋_GB2312" w:hAnsi="仿宋" w:cs="仿宋_GB2312" w:hint="eastAsia"/>
          <w:bCs/>
          <w:color w:val="000000"/>
          <w:sz w:val="32"/>
          <w:szCs w:val="32"/>
        </w:rPr>
        <w:t>协同存储与调控技术，</w:t>
      </w:r>
      <w:r w:rsidRPr="00A504A6">
        <w:rPr>
          <w:rFonts w:ascii="仿宋_GB2312" w:eastAsia="仿宋_GB2312" w:hAnsi="仿宋" w:cs="仿宋_GB2312" w:hint="eastAsia"/>
          <w:color w:val="000000"/>
          <w:sz w:val="32"/>
          <w:szCs w:val="32"/>
        </w:rPr>
        <w:t>自主设计800℃以上超临界CO</w:t>
      </w:r>
      <w:r w:rsidRPr="00A504A6">
        <w:rPr>
          <w:rFonts w:ascii="仿宋_GB2312" w:eastAsia="仿宋_GB2312" w:hAnsi="仿宋" w:cs="仿宋_GB2312" w:hint="eastAsia"/>
          <w:color w:val="000000"/>
          <w:sz w:val="32"/>
          <w:szCs w:val="32"/>
          <w:vertAlign w:val="subscript"/>
        </w:rPr>
        <w:t>2</w:t>
      </w:r>
      <w:r w:rsidRPr="00A504A6">
        <w:rPr>
          <w:rFonts w:ascii="仿宋_GB2312" w:eastAsia="仿宋_GB2312" w:hAnsi="仿宋" w:cs="仿宋_GB2312" w:hint="eastAsia"/>
          <w:color w:val="000000"/>
          <w:sz w:val="32"/>
          <w:szCs w:val="32"/>
        </w:rPr>
        <w:t>布雷顿循环的发电系统，建立以安全性为约束条件的“电力—储热—发电”动态系统模型，研究非稳定电力系统中大容量储热与其他储能方式的时序控制方法。建设光伏发电、风力发电等可再生能源电力为输入的储热发电系统示范工程，实现可再生能源电力的长时间、大容量存储。</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color w:val="000000"/>
          <w:sz w:val="32"/>
          <w:szCs w:val="32"/>
        </w:rPr>
      </w:pPr>
      <w:r w:rsidRPr="00A504A6">
        <w:rPr>
          <w:rFonts w:ascii="仿宋_GB2312" w:eastAsia="仿宋_GB2312" w:hAnsi="仿宋" w:cs="楷体" w:hint="eastAsia"/>
          <w:b/>
          <w:bCs/>
          <w:color w:val="000000"/>
          <w:sz w:val="32"/>
          <w:szCs w:val="32"/>
        </w:rPr>
        <w:t>考核指标：</w:t>
      </w:r>
      <w:r w:rsidRPr="00A504A6">
        <w:rPr>
          <w:rFonts w:ascii="仿宋_GB2312" w:eastAsia="仿宋_GB2312" w:hAnsi="仿宋" w:cs="仿宋_GB2312" w:hint="eastAsia"/>
          <w:color w:val="000000"/>
          <w:sz w:val="32"/>
          <w:szCs w:val="32"/>
        </w:rPr>
        <w:t>研制高温储热材料，工作温度800℃以上，使用寿命不低于25年；研制电加热装置，电压不低于380V，电热转换效率98%以上；建设高温储热发电成套系统示范工程，储热量不低于10MWh，超临界CO</w:t>
      </w:r>
      <w:r w:rsidRPr="00A504A6">
        <w:rPr>
          <w:rFonts w:ascii="仿宋_GB2312" w:eastAsia="仿宋_GB2312" w:hAnsi="仿宋" w:cs="仿宋_GB2312" w:hint="eastAsia"/>
          <w:color w:val="000000"/>
          <w:sz w:val="32"/>
          <w:szCs w:val="32"/>
          <w:vertAlign w:val="subscript"/>
        </w:rPr>
        <w:t>2</w:t>
      </w:r>
      <w:r w:rsidRPr="00A504A6">
        <w:rPr>
          <w:rFonts w:ascii="仿宋_GB2312" w:eastAsia="仿宋_GB2312" w:hAnsi="仿宋" w:cs="仿宋_GB2312" w:hint="eastAsia"/>
          <w:color w:val="000000"/>
          <w:sz w:val="32"/>
          <w:szCs w:val="32"/>
        </w:rPr>
        <w:t>布雷顿循环发电系统功率不低于1MW，储热温度800℃以上，储热密度800kWh/m</w:t>
      </w:r>
      <w:r w:rsidRPr="00A504A6">
        <w:rPr>
          <w:rFonts w:ascii="Calibri" w:eastAsia="仿宋_GB2312" w:hAnsi="Calibri" w:cs="Calibri"/>
          <w:color w:val="000000"/>
          <w:sz w:val="32"/>
          <w:szCs w:val="32"/>
        </w:rPr>
        <w:t>³</w:t>
      </w:r>
      <w:r w:rsidRPr="00A504A6">
        <w:rPr>
          <w:rFonts w:ascii="仿宋_GB2312" w:eastAsia="仿宋_GB2312" w:hAnsi="仿宋" w:cs="仿宋" w:hint="eastAsia"/>
          <w:color w:val="000000"/>
          <w:sz w:val="32"/>
          <w:szCs w:val="32"/>
        </w:rPr>
        <w:t>以上，能够实现储热周期</w:t>
      </w:r>
      <w:r w:rsidRPr="00A504A6">
        <w:rPr>
          <w:rFonts w:ascii="仿宋_GB2312" w:eastAsia="仿宋_GB2312" w:hAnsi="仿宋" w:cs="仿宋_GB2312" w:hint="eastAsia"/>
          <w:color w:val="000000"/>
          <w:sz w:val="32"/>
          <w:szCs w:val="32"/>
        </w:rPr>
        <w:t>12小时以上，储能系统发电效率不低于50%。</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b/>
          <w:color w:val="000000"/>
          <w:sz w:val="32"/>
          <w:szCs w:val="32"/>
        </w:rPr>
      </w:pPr>
      <w:r w:rsidRPr="00A504A6">
        <w:rPr>
          <w:rFonts w:ascii="仿宋_GB2312" w:eastAsia="仿宋_GB2312" w:hAnsi="仿宋" w:cs="仿宋_GB2312" w:hint="eastAsia"/>
          <w:b/>
          <w:color w:val="000000"/>
          <w:sz w:val="32"/>
          <w:szCs w:val="32"/>
        </w:rPr>
        <w:t>拟实施期限：</w:t>
      </w:r>
      <w:r w:rsidRPr="00A504A6">
        <w:rPr>
          <w:rFonts w:ascii="仿宋_GB2312" w:eastAsia="仿宋_GB2312" w:hAnsi="仿宋" w:cs="仿宋_GB2312" w:hint="eastAsia"/>
          <w:color w:val="000000"/>
          <w:sz w:val="32"/>
          <w:szCs w:val="32"/>
        </w:rPr>
        <w:t>不超过3年</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b/>
          <w:color w:val="000000"/>
          <w:sz w:val="32"/>
          <w:szCs w:val="32"/>
        </w:rPr>
      </w:pPr>
      <w:r w:rsidRPr="00A504A6">
        <w:rPr>
          <w:rFonts w:ascii="仿宋_GB2312" w:eastAsia="仿宋_GB2312" w:hAnsi="仿宋" w:cs="仿宋_GB2312" w:hint="eastAsia"/>
          <w:b/>
          <w:color w:val="000000"/>
          <w:sz w:val="32"/>
          <w:szCs w:val="32"/>
        </w:rPr>
        <w:t>财政预算投入：</w:t>
      </w:r>
      <w:r w:rsidRPr="00A504A6">
        <w:rPr>
          <w:rFonts w:ascii="仿宋_GB2312" w:eastAsia="仿宋_GB2312" w:hAnsi="仿宋" w:cs="仿宋_GB2312"/>
          <w:color w:val="000000"/>
          <w:sz w:val="32"/>
          <w:szCs w:val="32"/>
        </w:rPr>
        <w:t>900</w:t>
      </w:r>
      <w:r w:rsidRPr="00A504A6">
        <w:rPr>
          <w:rFonts w:ascii="仿宋_GB2312" w:eastAsia="仿宋_GB2312" w:hAnsi="仿宋" w:cs="仿宋_GB2312" w:hint="eastAsia"/>
          <w:color w:val="000000"/>
          <w:sz w:val="32"/>
          <w:szCs w:val="32"/>
        </w:rPr>
        <w:t>万元</w:t>
      </w:r>
    </w:p>
    <w:p w:rsidR="00A504A6" w:rsidRPr="00A504A6" w:rsidRDefault="00A504A6" w:rsidP="00A504A6">
      <w:pPr>
        <w:adjustRightInd w:val="0"/>
        <w:snapToGrid w:val="0"/>
        <w:spacing w:line="300" w:lineRule="auto"/>
        <w:ind w:firstLineChars="200" w:firstLine="643"/>
        <w:rPr>
          <w:rFonts w:ascii="仿宋_GB2312" w:eastAsia="仿宋_GB2312" w:hAnsi="仿宋" w:hint="eastAsia"/>
          <w:b/>
          <w:bCs/>
          <w:color w:val="000000"/>
          <w:sz w:val="32"/>
          <w:szCs w:val="32"/>
        </w:rPr>
      </w:pPr>
    </w:p>
    <w:p w:rsidR="00A504A6" w:rsidRPr="00A504A6" w:rsidRDefault="00A504A6" w:rsidP="00A504A6">
      <w:pPr>
        <w:adjustRightInd w:val="0"/>
        <w:snapToGrid w:val="0"/>
        <w:spacing w:line="300" w:lineRule="auto"/>
        <w:ind w:firstLineChars="200" w:firstLine="640"/>
        <w:jc w:val="left"/>
        <w:outlineLvl w:val="2"/>
        <w:rPr>
          <w:rFonts w:ascii="黑体" w:eastAsia="黑体" w:hAnsi="黑体" w:cs="黑体" w:hint="eastAsia"/>
          <w:color w:val="000000"/>
          <w:sz w:val="32"/>
          <w:szCs w:val="32"/>
        </w:rPr>
      </w:pPr>
      <w:bookmarkStart w:id="4" w:name="_Toc11711"/>
      <w:r w:rsidRPr="00A504A6">
        <w:rPr>
          <w:rFonts w:ascii="黑体" w:eastAsia="黑体" w:hAnsi="黑体" w:cs="黑体" w:hint="eastAsia"/>
          <w:color w:val="000000"/>
          <w:sz w:val="32"/>
          <w:szCs w:val="32"/>
        </w:rPr>
        <w:t>4.超大规模中高温热超导相变储能装备技术开发</w:t>
      </w:r>
      <w:bookmarkEnd w:id="4"/>
    </w:p>
    <w:p w:rsidR="00A504A6" w:rsidRPr="00A504A6" w:rsidRDefault="00A504A6" w:rsidP="00A504A6">
      <w:pPr>
        <w:adjustRightInd w:val="0"/>
        <w:snapToGrid w:val="0"/>
        <w:spacing w:line="300" w:lineRule="auto"/>
        <w:ind w:firstLineChars="200" w:firstLine="643"/>
        <w:rPr>
          <w:rFonts w:ascii="仿宋_GB2312" w:eastAsia="仿宋_GB2312" w:hAnsi="仿宋" w:hint="eastAsia"/>
          <w:b/>
          <w:bCs/>
          <w:color w:val="000000"/>
          <w:sz w:val="32"/>
          <w:szCs w:val="32"/>
        </w:rPr>
      </w:pPr>
      <w:r w:rsidRPr="00A504A6">
        <w:rPr>
          <w:rFonts w:ascii="仿宋_GB2312" w:eastAsia="仿宋_GB2312" w:hAnsi="仿宋" w:hint="eastAsia"/>
          <w:b/>
          <w:bCs/>
          <w:color w:val="000000"/>
          <w:sz w:val="32"/>
          <w:szCs w:val="32"/>
        </w:rPr>
        <w:t>研究内容：</w:t>
      </w:r>
      <w:r w:rsidRPr="00A504A6">
        <w:rPr>
          <w:rFonts w:ascii="仿宋_GB2312" w:eastAsia="仿宋_GB2312" w:hAnsi="仿宋" w:hint="eastAsia"/>
          <w:color w:val="000000"/>
          <w:sz w:val="32"/>
          <w:szCs w:val="32"/>
        </w:rPr>
        <w:t>开发一种新型阵列式排布的热超导相变储能装备系列产品（创新概念与结构设计），可用于中高温余热回</w:t>
      </w:r>
      <w:r w:rsidRPr="00A504A6">
        <w:rPr>
          <w:rFonts w:ascii="仿宋_GB2312" w:eastAsia="仿宋_GB2312" w:hAnsi="仿宋" w:hint="eastAsia"/>
          <w:color w:val="000000"/>
          <w:sz w:val="32"/>
          <w:szCs w:val="32"/>
        </w:rPr>
        <w:lastRenderedPageBreak/>
        <w:t>收或能量存储调峰使用；提出新型储能余热回收装置系统储能与换热性能的数值模拟计算方法，分析、模拟与优化装置系统；首批开发三套（10GJ/20GJ/30GJ）中高温相变储能余热回收装置；</w:t>
      </w:r>
      <w:proofErr w:type="gramStart"/>
      <w:r w:rsidRPr="00A504A6">
        <w:rPr>
          <w:rFonts w:ascii="仿宋_GB2312" w:eastAsia="仿宋_GB2312" w:hAnsi="仿宋" w:hint="eastAsia"/>
          <w:color w:val="000000"/>
          <w:sz w:val="32"/>
          <w:szCs w:val="32"/>
        </w:rPr>
        <w:t>搭建新型</w:t>
      </w:r>
      <w:proofErr w:type="gramEnd"/>
      <w:r w:rsidRPr="00A504A6">
        <w:rPr>
          <w:rFonts w:ascii="仿宋_GB2312" w:eastAsia="仿宋_GB2312" w:hAnsi="仿宋" w:hint="eastAsia"/>
          <w:color w:val="000000"/>
          <w:sz w:val="32"/>
          <w:szCs w:val="32"/>
        </w:rPr>
        <w:t>热超导相变储能余热回收装置测试平台，深入研究</w:t>
      </w:r>
      <w:bookmarkStart w:id="5" w:name="OLE_LINK6"/>
      <w:r w:rsidRPr="00A504A6">
        <w:rPr>
          <w:rFonts w:ascii="仿宋_GB2312" w:eastAsia="仿宋_GB2312" w:hAnsi="仿宋" w:hint="eastAsia"/>
          <w:color w:val="000000"/>
          <w:sz w:val="32"/>
          <w:szCs w:val="32"/>
        </w:rPr>
        <w:t>储能换热装置</w:t>
      </w:r>
      <w:bookmarkEnd w:id="5"/>
      <w:r w:rsidRPr="00A504A6">
        <w:rPr>
          <w:rFonts w:ascii="仿宋_GB2312" w:eastAsia="仿宋_GB2312" w:hAnsi="仿宋" w:hint="eastAsia"/>
          <w:color w:val="000000"/>
          <w:sz w:val="32"/>
          <w:szCs w:val="32"/>
        </w:rPr>
        <w:t>的传热性能、流体力学性能、稳定性、机械特性、可靠性和工况适应性；开发设计热超导管排储能换热单元制造图纸与加工工艺，研究其传热性能、工质选择、流体性能和可靠性；研究热超导管排储能换热单元的制造材料、结构参数、力学性能、工作介质、材料相容性、制造工艺和检测方法等以及中温和高温相变储能材料选取与开发；研究阵列式布置热超导管排相变储能换热装置的布置、储能换热强化、结构原理、设计参数、储热与释放物理数学模型及求解方式；中高温热超导相变储能装置在余热/废热回收领域工业应用示范建设。</w:t>
      </w:r>
    </w:p>
    <w:p w:rsidR="00A504A6" w:rsidRPr="00A504A6" w:rsidRDefault="00A504A6" w:rsidP="00A504A6">
      <w:pPr>
        <w:snapToGrid w:val="0"/>
        <w:spacing w:line="300" w:lineRule="auto"/>
        <w:ind w:firstLineChars="200" w:firstLine="643"/>
        <w:textAlignment w:val="baseline"/>
        <w:rPr>
          <w:rFonts w:ascii="仿宋_GB2312" w:eastAsia="仿宋_GB2312" w:hAnsi="仿宋" w:hint="eastAsia"/>
          <w:color w:val="000000"/>
          <w:sz w:val="32"/>
          <w:szCs w:val="32"/>
        </w:rPr>
      </w:pPr>
      <w:r w:rsidRPr="00A504A6">
        <w:rPr>
          <w:rFonts w:ascii="仿宋_GB2312" w:eastAsia="仿宋_GB2312" w:hAnsi="仿宋" w:hint="eastAsia"/>
          <w:b/>
          <w:color w:val="000000"/>
          <w:sz w:val="32"/>
          <w:szCs w:val="32"/>
        </w:rPr>
        <w:t>考核指标：</w:t>
      </w:r>
      <w:r w:rsidRPr="00A504A6">
        <w:rPr>
          <w:rFonts w:ascii="仿宋_GB2312" w:eastAsia="仿宋_GB2312" w:hAnsi="仿宋" w:hint="eastAsia"/>
          <w:color w:val="000000"/>
          <w:sz w:val="32"/>
          <w:szCs w:val="32"/>
        </w:rPr>
        <w:t>储热能力10-150GJ，储热温度150-350℃，热源温度150-500℃，储热速率100-150kW，释放速率100-150kW，堆积密度&lt;850kg/m</w:t>
      </w:r>
      <w:r w:rsidRPr="00A504A6">
        <w:rPr>
          <w:rFonts w:ascii="仿宋_GB2312" w:eastAsia="仿宋_GB2312" w:hAnsi="仿宋" w:hint="eastAsia"/>
          <w:color w:val="000000"/>
          <w:sz w:val="32"/>
          <w:szCs w:val="32"/>
          <w:vertAlign w:val="superscript"/>
        </w:rPr>
        <w:t>3</w:t>
      </w:r>
      <w:r w:rsidRPr="00A504A6">
        <w:rPr>
          <w:rFonts w:ascii="仿宋_GB2312" w:eastAsia="仿宋_GB2312" w:hAnsi="仿宋" w:hint="eastAsia"/>
          <w:color w:val="000000"/>
          <w:sz w:val="32"/>
          <w:szCs w:val="32"/>
        </w:rPr>
        <w:t>，循环次数不低于3000次，完成10GJ/台中高温相变储能余热回收装置的模拟计算，样机的设计、制造与测试；申请发明/新型实用专利1项；建立实验测试平台；建立应用示范系统1套。完成20GJ/台和30GJ/台中高温相变储能装置的模拟计算，样机的设计、制造与测试；申请发明专利1项；建立应用示范系统1套（钢渣余热回收或窑炉废弃回收或高温太阳能电站）；申请发明专利2项，科技成果转化1项。</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b/>
          <w:color w:val="000000"/>
          <w:sz w:val="32"/>
          <w:szCs w:val="32"/>
        </w:rPr>
      </w:pPr>
      <w:r w:rsidRPr="00A504A6">
        <w:rPr>
          <w:rFonts w:ascii="仿宋_GB2312" w:eastAsia="仿宋_GB2312" w:hAnsi="仿宋" w:cs="仿宋_GB2312" w:hint="eastAsia"/>
          <w:b/>
          <w:color w:val="000000"/>
          <w:sz w:val="32"/>
          <w:szCs w:val="32"/>
        </w:rPr>
        <w:t>拟实施期限：</w:t>
      </w:r>
      <w:r w:rsidRPr="00A504A6">
        <w:rPr>
          <w:rFonts w:ascii="仿宋_GB2312" w:eastAsia="仿宋_GB2312" w:hAnsi="仿宋" w:cs="仿宋_GB2312" w:hint="eastAsia"/>
          <w:color w:val="000000"/>
          <w:sz w:val="32"/>
          <w:szCs w:val="32"/>
        </w:rPr>
        <w:t>不超过3年</w:t>
      </w:r>
    </w:p>
    <w:p w:rsidR="00A504A6" w:rsidRPr="00A504A6" w:rsidRDefault="00A504A6" w:rsidP="00A504A6">
      <w:pPr>
        <w:adjustRightInd w:val="0"/>
        <w:snapToGrid w:val="0"/>
        <w:spacing w:line="300" w:lineRule="auto"/>
        <w:ind w:firstLineChars="200" w:firstLine="643"/>
        <w:rPr>
          <w:rFonts w:ascii="仿宋_GB2312" w:eastAsia="仿宋_GB2312" w:hAnsi="仿宋" w:hint="eastAsia"/>
          <w:color w:val="000000"/>
          <w:sz w:val="32"/>
          <w:szCs w:val="32"/>
        </w:rPr>
      </w:pPr>
      <w:r w:rsidRPr="00A504A6">
        <w:rPr>
          <w:rFonts w:ascii="仿宋_GB2312" w:eastAsia="仿宋_GB2312" w:hAnsi="仿宋" w:cs="仿宋_GB2312" w:hint="eastAsia"/>
          <w:b/>
          <w:color w:val="000000"/>
          <w:sz w:val="32"/>
          <w:szCs w:val="32"/>
        </w:rPr>
        <w:t>财政预算投入：</w:t>
      </w:r>
      <w:r w:rsidRPr="00A504A6">
        <w:rPr>
          <w:rFonts w:ascii="仿宋_GB2312" w:eastAsia="仿宋_GB2312" w:hAnsi="仿宋" w:cs="仿宋_GB2312"/>
          <w:color w:val="000000"/>
          <w:sz w:val="32"/>
          <w:szCs w:val="32"/>
        </w:rPr>
        <w:t>800</w:t>
      </w:r>
      <w:r w:rsidRPr="00A504A6">
        <w:rPr>
          <w:rFonts w:ascii="仿宋_GB2312" w:eastAsia="仿宋_GB2312" w:hAnsi="仿宋" w:cs="仿宋_GB2312" w:hint="eastAsia"/>
          <w:color w:val="000000"/>
          <w:sz w:val="32"/>
          <w:szCs w:val="32"/>
        </w:rPr>
        <w:t>万元</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b/>
          <w:color w:val="000000"/>
          <w:sz w:val="32"/>
          <w:szCs w:val="32"/>
        </w:rPr>
      </w:pPr>
    </w:p>
    <w:p w:rsidR="00A504A6" w:rsidRPr="00A504A6" w:rsidRDefault="00A504A6" w:rsidP="00A504A6">
      <w:pPr>
        <w:adjustRightInd w:val="0"/>
        <w:snapToGrid w:val="0"/>
        <w:spacing w:line="300" w:lineRule="auto"/>
        <w:ind w:firstLineChars="200" w:firstLine="640"/>
        <w:jc w:val="left"/>
        <w:outlineLvl w:val="2"/>
        <w:rPr>
          <w:rFonts w:ascii="黑体" w:eastAsia="黑体" w:hAnsi="黑体" w:cs="黑体" w:hint="eastAsia"/>
          <w:color w:val="000000"/>
          <w:sz w:val="32"/>
          <w:szCs w:val="32"/>
        </w:rPr>
      </w:pPr>
      <w:r w:rsidRPr="00A504A6">
        <w:rPr>
          <w:rFonts w:ascii="黑体" w:eastAsia="黑体" w:hAnsi="黑体" w:cs="黑体" w:hint="eastAsia"/>
          <w:color w:val="000000"/>
          <w:sz w:val="32"/>
          <w:szCs w:val="32"/>
        </w:rPr>
        <w:lastRenderedPageBreak/>
        <w:t>5.STATCOM集成储能关键技术研究及样机研制</w:t>
      </w:r>
    </w:p>
    <w:p w:rsidR="00A504A6" w:rsidRPr="00A504A6" w:rsidRDefault="00A504A6" w:rsidP="00A504A6">
      <w:pPr>
        <w:adjustRightInd w:val="0"/>
        <w:snapToGrid w:val="0"/>
        <w:spacing w:line="300" w:lineRule="auto"/>
        <w:ind w:firstLineChars="200" w:firstLine="643"/>
        <w:rPr>
          <w:rFonts w:ascii="仿宋_GB2312" w:eastAsia="仿宋_GB2312" w:hAnsi="仿宋" w:hint="eastAsia"/>
          <w:color w:val="000000"/>
          <w:sz w:val="32"/>
          <w:szCs w:val="32"/>
        </w:rPr>
      </w:pPr>
      <w:r w:rsidRPr="00A504A6">
        <w:rPr>
          <w:rFonts w:ascii="仿宋_GB2312" w:eastAsia="仿宋_GB2312" w:hAnsi="仿宋" w:hint="eastAsia"/>
          <w:b/>
          <w:bCs/>
          <w:color w:val="000000"/>
          <w:sz w:val="32"/>
          <w:szCs w:val="32"/>
        </w:rPr>
        <w:t>研究内容：</w:t>
      </w:r>
      <w:r w:rsidRPr="00A504A6">
        <w:rPr>
          <w:rFonts w:ascii="仿宋_GB2312" w:eastAsia="仿宋_GB2312" w:hAnsi="仿宋" w:hint="eastAsia"/>
          <w:color w:val="000000"/>
          <w:sz w:val="32"/>
          <w:szCs w:val="32"/>
        </w:rPr>
        <w:t xml:space="preserve"> </w:t>
      </w:r>
      <w:r w:rsidRPr="00A504A6">
        <w:rPr>
          <w:rFonts w:ascii="仿宋_GB2312" w:eastAsia="仿宋_GB2312" w:hAnsi="仿宋" w:cs="仿宋_GB2312" w:hint="eastAsia"/>
          <w:color w:val="000000"/>
          <w:sz w:val="32"/>
          <w:szCs w:val="32"/>
        </w:rPr>
        <w:t>研究基于国产自主化功率器件的STATCOM集成储能系统拓扑结构。针对大容量STATCOM和电池储能接入的要求，基于国产自主化功率器件的特性，研究能够集成STATCOM功能和储能电池接入功能新型多电平功率变换拓扑结构，建立系统的主回路分析方法和参数优化设计方法。研究STATCOM集成储能系统动态无功补偿控制策略、储能电池充放电管理控制策略、相间及相内各链接电池组SOC均衡控制策略、系统振荡检测和低频补偿电流控制策略。针对大容量风电场接入电网的动态特性，研究STATCOM集成储能系统与大容量风电场的协调运行控制策略，通过STATCOM集成储能系统的有功/无功功率控制和低频振荡电流补偿功能，实现大容量风电场并网系统的安全稳定运行。基于国产自主化功率器件的STATCOM集成储能系统样机研制。提出基于国产自主化功率器件的STATCOM集成储能系统总体设计方案，研制基于国产自主化功率器件的STATCOM集成储能系统样机，编制STATCOM集成储能系统样机测试规范，开展功能及性能验证。</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color w:val="000000"/>
          <w:sz w:val="32"/>
          <w:szCs w:val="32"/>
        </w:rPr>
      </w:pPr>
      <w:r w:rsidRPr="00A504A6">
        <w:rPr>
          <w:rFonts w:ascii="仿宋_GB2312" w:eastAsia="仿宋_GB2312" w:hAnsi="仿宋" w:cs="仿宋_GB2312" w:hint="eastAsia"/>
          <w:b/>
          <w:color w:val="000000"/>
          <w:sz w:val="32"/>
          <w:szCs w:val="32"/>
        </w:rPr>
        <w:t>考核指标：</w:t>
      </w:r>
      <w:r w:rsidRPr="00A504A6">
        <w:rPr>
          <w:rFonts w:ascii="仿宋_GB2312" w:eastAsia="仿宋_GB2312" w:hAnsi="仿宋" w:cs="仿宋_GB2312" w:hint="eastAsia"/>
          <w:color w:val="000000"/>
          <w:sz w:val="32"/>
          <w:szCs w:val="32"/>
        </w:rPr>
        <w:t>额定电压35kV；系统容量不小于50MVA；</w:t>
      </w:r>
    </w:p>
    <w:p w:rsidR="00A504A6" w:rsidRPr="00A504A6" w:rsidRDefault="00A504A6" w:rsidP="00A504A6">
      <w:pPr>
        <w:adjustRightInd w:val="0"/>
        <w:snapToGrid w:val="0"/>
        <w:spacing w:line="300" w:lineRule="auto"/>
        <w:rPr>
          <w:rFonts w:ascii="仿宋_GB2312" w:eastAsia="仿宋_GB2312" w:hAnsi="仿宋" w:cs="仿宋_GB2312" w:hint="eastAsia"/>
          <w:color w:val="000000"/>
          <w:sz w:val="32"/>
          <w:szCs w:val="32"/>
        </w:rPr>
      </w:pPr>
      <w:r w:rsidRPr="00A504A6">
        <w:rPr>
          <w:rFonts w:ascii="仿宋_GB2312" w:eastAsia="仿宋_GB2312" w:hAnsi="仿宋" w:cs="仿宋_GB2312" w:hint="eastAsia"/>
          <w:color w:val="000000"/>
          <w:sz w:val="32"/>
          <w:szCs w:val="32"/>
        </w:rPr>
        <w:t>响应时间系统可实现四象限运行，在10ms内响应功率指令，并可在50ms—150ms内实现有功无功0到100%调节。</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b/>
          <w:color w:val="000000"/>
          <w:sz w:val="32"/>
          <w:szCs w:val="32"/>
        </w:rPr>
      </w:pPr>
      <w:r w:rsidRPr="00A504A6">
        <w:rPr>
          <w:rFonts w:ascii="仿宋_GB2312" w:eastAsia="仿宋_GB2312" w:hAnsi="仿宋" w:cs="仿宋_GB2312" w:hint="eastAsia"/>
          <w:b/>
          <w:color w:val="000000"/>
          <w:sz w:val="32"/>
          <w:szCs w:val="32"/>
        </w:rPr>
        <w:t>拟实施期限：</w:t>
      </w:r>
      <w:r w:rsidRPr="00A504A6">
        <w:rPr>
          <w:rFonts w:ascii="仿宋_GB2312" w:eastAsia="仿宋_GB2312" w:hAnsi="仿宋" w:cs="仿宋_GB2312" w:hint="eastAsia"/>
          <w:color w:val="000000"/>
          <w:sz w:val="32"/>
          <w:szCs w:val="32"/>
        </w:rPr>
        <w:t>不超过3年</w:t>
      </w:r>
    </w:p>
    <w:p w:rsidR="00A504A6" w:rsidRPr="00A504A6" w:rsidRDefault="00A504A6" w:rsidP="00A504A6">
      <w:pPr>
        <w:adjustRightInd w:val="0"/>
        <w:snapToGrid w:val="0"/>
        <w:spacing w:line="300" w:lineRule="auto"/>
        <w:ind w:firstLineChars="200" w:firstLine="643"/>
        <w:rPr>
          <w:rFonts w:ascii="仿宋_GB2312" w:eastAsia="仿宋_GB2312" w:hAnsi="仿宋" w:hint="eastAsia"/>
          <w:color w:val="000000"/>
          <w:sz w:val="32"/>
          <w:szCs w:val="32"/>
        </w:rPr>
      </w:pPr>
      <w:r w:rsidRPr="00A504A6">
        <w:rPr>
          <w:rFonts w:ascii="仿宋_GB2312" w:eastAsia="仿宋_GB2312" w:hAnsi="仿宋" w:cs="仿宋_GB2312" w:hint="eastAsia"/>
          <w:b/>
          <w:color w:val="000000"/>
          <w:sz w:val="32"/>
          <w:szCs w:val="32"/>
        </w:rPr>
        <w:t>财政预算投入：</w:t>
      </w:r>
      <w:r w:rsidRPr="00A504A6">
        <w:rPr>
          <w:rFonts w:ascii="仿宋_GB2312" w:eastAsia="仿宋_GB2312" w:hAnsi="仿宋" w:cs="仿宋_GB2312"/>
          <w:color w:val="000000"/>
          <w:sz w:val="32"/>
          <w:szCs w:val="32"/>
        </w:rPr>
        <w:t>600</w:t>
      </w:r>
      <w:r w:rsidRPr="00A504A6">
        <w:rPr>
          <w:rFonts w:ascii="仿宋_GB2312" w:eastAsia="仿宋_GB2312" w:hAnsi="仿宋" w:cs="仿宋_GB2312" w:hint="eastAsia"/>
          <w:color w:val="000000"/>
          <w:sz w:val="32"/>
          <w:szCs w:val="32"/>
        </w:rPr>
        <w:t>万元</w:t>
      </w:r>
    </w:p>
    <w:p w:rsidR="00A504A6" w:rsidRPr="00A504A6" w:rsidRDefault="00A504A6" w:rsidP="00A504A6">
      <w:pPr>
        <w:adjustRightInd w:val="0"/>
        <w:snapToGrid w:val="0"/>
        <w:spacing w:line="300" w:lineRule="auto"/>
        <w:ind w:firstLineChars="200" w:firstLine="643"/>
        <w:rPr>
          <w:rFonts w:ascii="仿宋_GB2312" w:eastAsia="仿宋_GB2312" w:hAnsi="仿宋" w:hint="eastAsia"/>
          <w:b/>
          <w:bCs/>
          <w:color w:val="000000"/>
          <w:sz w:val="32"/>
          <w:szCs w:val="32"/>
        </w:rPr>
      </w:pPr>
    </w:p>
    <w:p w:rsidR="00A504A6" w:rsidRPr="00A504A6" w:rsidRDefault="00A504A6" w:rsidP="00A504A6">
      <w:pPr>
        <w:adjustRightInd w:val="0"/>
        <w:snapToGrid w:val="0"/>
        <w:spacing w:line="300" w:lineRule="auto"/>
        <w:ind w:firstLineChars="200" w:firstLine="640"/>
        <w:jc w:val="left"/>
        <w:outlineLvl w:val="2"/>
        <w:rPr>
          <w:rFonts w:ascii="黑体" w:eastAsia="黑体" w:hAnsi="黑体" w:cs="黑体" w:hint="eastAsia"/>
          <w:color w:val="000000"/>
          <w:sz w:val="32"/>
          <w:szCs w:val="32"/>
        </w:rPr>
      </w:pPr>
      <w:r w:rsidRPr="00A504A6">
        <w:rPr>
          <w:rFonts w:ascii="黑体" w:eastAsia="黑体" w:hAnsi="黑体" w:cs="黑体" w:hint="eastAsia"/>
          <w:color w:val="000000"/>
          <w:sz w:val="32"/>
          <w:szCs w:val="32"/>
        </w:rPr>
        <w:t>6.</w:t>
      </w:r>
      <w:bookmarkStart w:id="6" w:name="_Toc5622"/>
      <w:bookmarkEnd w:id="1"/>
      <w:r w:rsidRPr="00A504A6">
        <w:rPr>
          <w:rFonts w:ascii="黑体" w:eastAsia="黑体" w:hAnsi="黑体" w:cs="黑体" w:hint="eastAsia"/>
          <w:color w:val="000000"/>
          <w:sz w:val="32"/>
          <w:szCs w:val="32"/>
        </w:rPr>
        <w:t>固态储氢材料产业化技术开发及其应用</w:t>
      </w:r>
      <w:bookmarkEnd w:id="6"/>
      <w:r w:rsidRPr="00A504A6">
        <w:rPr>
          <w:rFonts w:ascii="黑体" w:eastAsia="黑体" w:hAnsi="黑体" w:cs="黑体" w:hint="eastAsia"/>
          <w:color w:val="000000"/>
          <w:sz w:val="32"/>
          <w:szCs w:val="32"/>
        </w:rPr>
        <w:t xml:space="preserve"> </w:t>
      </w:r>
    </w:p>
    <w:p w:rsidR="00A504A6" w:rsidRPr="00A504A6" w:rsidRDefault="00A504A6" w:rsidP="00A504A6">
      <w:pPr>
        <w:adjustRightInd w:val="0"/>
        <w:snapToGrid w:val="0"/>
        <w:spacing w:line="300" w:lineRule="auto"/>
        <w:ind w:firstLineChars="200" w:firstLine="643"/>
        <w:rPr>
          <w:rFonts w:ascii="仿宋_GB2312" w:eastAsia="仿宋_GB2312" w:hAnsi="仿宋" w:hint="eastAsia"/>
          <w:b/>
          <w:bCs/>
          <w:color w:val="000000"/>
          <w:sz w:val="32"/>
          <w:szCs w:val="32"/>
        </w:rPr>
      </w:pPr>
      <w:r w:rsidRPr="00A504A6">
        <w:rPr>
          <w:rFonts w:ascii="仿宋_GB2312" w:eastAsia="仿宋_GB2312" w:hAnsi="仿宋" w:hint="eastAsia"/>
          <w:b/>
          <w:bCs/>
          <w:color w:val="000000"/>
          <w:sz w:val="32"/>
          <w:szCs w:val="32"/>
        </w:rPr>
        <w:t>研究内容：</w:t>
      </w:r>
      <w:r w:rsidRPr="00A504A6">
        <w:rPr>
          <w:rFonts w:ascii="仿宋_GB2312" w:eastAsia="仿宋_GB2312" w:hAnsi="仿宋" w:cs="仿宋_GB2312" w:hint="eastAsia"/>
          <w:color w:val="000000"/>
          <w:kern w:val="0"/>
          <w:sz w:val="32"/>
          <w:szCs w:val="32"/>
        </w:rPr>
        <w:t>针对目前大规模氢气储存和利用的瓶颈问题，通过对储氢系统中储氢材料成分设计及产业化工艺关键技</w:t>
      </w:r>
      <w:r w:rsidRPr="00A504A6">
        <w:rPr>
          <w:rFonts w:ascii="仿宋_GB2312" w:eastAsia="仿宋_GB2312" w:hAnsi="仿宋" w:cs="仿宋_GB2312" w:hint="eastAsia"/>
          <w:color w:val="000000"/>
          <w:kern w:val="0"/>
          <w:sz w:val="32"/>
          <w:szCs w:val="32"/>
        </w:rPr>
        <w:lastRenderedPageBreak/>
        <w:t>术进行研究，解决常温常压下储氢合金高容量储氢和吸/放氢动力学及热力学的产业化技术壁垒。根据稀土镍系储氢材料传热传质相关参数对氢储能系统中储氢装置内部结构进行设计，解决储氢装置热响应速度慢的问题。研究氢储能系统控制逻辑，通过建立数学模型来计算反应热调控器的响应数据，确认启</w:t>
      </w:r>
      <w:proofErr w:type="gramStart"/>
      <w:r w:rsidRPr="00A504A6">
        <w:rPr>
          <w:rFonts w:ascii="仿宋_GB2312" w:eastAsia="仿宋_GB2312" w:hAnsi="仿宋" w:cs="仿宋_GB2312" w:hint="eastAsia"/>
          <w:color w:val="000000"/>
          <w:kern w:val="0"/>
          <w:sz w:val="32"/>
          <w:szCs w:val="32"/>
        </w:rPr>
        <w:t>停条件</w:t>
      </w:r>
      <w:proofErr w:type="gramEnd"/>
      <w:r w:rsidRPr="00A504A6">
        <w:rPr>
          <w:rFonts w:ascii="仿宋_GB2312" w:eastAsia="仿宋_GB2312" w:hAnsi="仿宋" w:cs="仿宋_GB2312" w:hint="eastAsia"/>
          <w:color w:val="000000"/>
          <w:kern w:val="0"/>
          <w:sz w:val="32"/>
          <w:szCs w:val="32"/>
        </w:rPr>
        <w:t>并建立PLC自动控制系统，进一步提高反应热调控器的自动化程度。</w:t>
      </w:r>
    </w:p>
    <w:p w:rsidR="00A504A6" w:rsidRPr="00A504A6" w:rsidRDefault="00A504A6" w:rsidP="00A504A6">
      <w:pPr>
        <w:adjustRightInd w:val="0"/>
        <w:snapToGrid w:val="0"/>
        <w:spacing w:line="300" w:lineRule="auto"/>
        <w:ind w:firstLineChars="200" w:firstLine="643"/>
        <w:rPr>
          <w:rFonts w:ascii="仿宋_GB2312" w:eastAsia="仿宋_GB2312" w:hAnsi="仿宋" w:hint="eastAsia"/>
          <w:b/>
          <w:bCs/>
          <w:color w:val="000000"/>
          <w:sz w:val="32"/>
          <w:szCs w:val="32"/>
        </w:rPr>
      </w:pPr>
      <w:r w:rsidRPr="00A504A6">
        <w:rPr>
          <w:rFonts w:ascii="仿宋_GB2312" w:eastAsia="仿宋_GB2312" w:hAnsi="仿宋" w:hint="eastAsia"/>
          <w:b/>
          <w:bCs/>
          <w:color w:val="000000"/>
          <w:sz w:val="32"/>
          <w:szCs w:val="32"/>
        </w:rPr>
        <w:t>考核指标：</w:t>
      </w:r>
      <w:r w:rsidRPr="00A504A6">
        <w:rPr>
          <w:rFonts w:ascii="仿宋_GB2312" w:eastAsia="仿宋_GB2312" w:hAnsi="仿宋" w:cs="仿宋_GB2312" w:hint="eastAsia"/>
          <w:color w:val="000000"/>
          <w:kern w:val="0"/>
          <w:sz w:val="32"/>
          <w:szCs w:val="32"/>
        </w:rPr>
        <w:t>研发固态储氢装置用稀土系储氢合金，开发一套示范性固态储氢装置，其中固态储氢材料性能上满足以下三个主要指标：最大储氢容量≥1.5wt.%（40℃）；200次充放氢循环容量衰减率小于5%；吸/放氢反应焓变小于25kJ/molH2。</w:t>
      </w:r>
      <w:r w:rsidRPr="00A504A6">
        <w:rPr>
          <w:rFonts w:ascii="仿宋_GB2312" w:eastAsia="仿宋_GB2312" w:hAnsi="仿宋" w:cs="仿宋_GB2312" w:hint="eastAsia"/>
          <w:color w:val="000000"/>
          <w:sz w:val="32"/>
          <w:szCs w:val="32"/>
        </w:rPr>
        <w:t>固态储氢装置满足以下三个主要指标：合金装载量大于500kg；</w:t>
      </w:r>
      <w:r w:rsidRPr="00A504A6">
        <w:rPr>
          <w:rFonts w:ascii="仿宋_GB2312" w:eastAsia="仿宋_GB2312" w:hAnsi="仿宋" w:cs="仿宋_GB2312" w:hint="eastAsia"/>
          <w:color w:val="000000"/>
          <w:kern w:val="0"/>
          <w:sz w:val="32"/>
          <w:szCs w:val="32"/>
        </w:rPr>
        <w:t>罐体体积小于300L；</w:t>
      </w:r>
      <w:proofErr w:type="gramStart"/>
      <w:r w:rsidRPr="00A504A6">
        <w:rPr>
          <w:rFonts w:ascii="仿宋_GB2312" w:eastAsia="仿宋_GB2312" w:hAnsi="仿宋" w:cs="仿宋_GB2312" w:hint="eastAsia"/>
          <w:color w:val="000000"/>
          <w:kern w:val="0"/>
          <w:sz w:val="32"/>
          <w:szCs w:val="32"/>
        </w:rPr>
        <w:t>最大放</w:t>
      </w:r>
      <w:proofErr w:type="gramEnd"/>
      <w:r w:rsidRPr="00A504A6">
        <w:rPr>
          <w:rFonts w:ascii="仿宋_GB2312" w:eastAsia="仿宋_GB2312" w:hAnsi="仿宋" w:cs="仿宋_GB2312" w:hint="eastAsia"/>
          <w:color w:val="000000"/>
          <w:kern w:val="0"/>
          <w:sz w:val="32"/>
          <w:szCs w:val="32"/>
        </w:rPr>
        <w:t>氢速率30g/min，放氢速率衰减比例小于60%（100%满装状态与10%满装状态之比）；建设大规模固态储氢应用示范点一个。</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b/>
          <w:color w:val="000000"/>
          <w:sz w:val="32"/>
          <w:szCs w:val="32"/>
        </w:rPr>
      </w:pPr>
      <w:r w:rsidRPr="00A504A6">
        <w:rPr>
          <w:rFonts w:ascii="仿宋_GB2312" w:eastAsia="仿宋_GB2312" w:hAnsi="仿宋" w:cs="仿宋_GB2312" w:hint="eastAsia"/>
          <w:b/>
          <w:color w:val="000000"/>
          <w:sz w:val="32"/>
          <w:szCs w:val="32"/>
        </w:rPr>
        <w:t>拟实施期限：</w:t>
      </w:r>
      <w:r w:rsidRPr="00A504A6">
        <w:rPr>
          <w:rFonts w:ascii="仿宋_GB2312" w:eastAsia="仿宋_GB2312" w:hAnsi="仿宋" w:cs="仿宋_GB2312" w:hint="eastAsia"/>
          <w:color w:val="000000"/>
          <w:sz w:val="32"/>
          <w:szCs w:val="32"/>
        </w:rPr>
        <w:t>不超过3年</w:t>
      </w:r>
    </w:p>
    <w:p w:rsidR="00A504A6" w:rsidRPr="00A504A6" w:rsidRDefault="00A504A6" w:rsidP="00A504A6">
      <w:pPr>
        <w:adjustRightInd w:val="0"/>
        <w:snapToGrid w:val="0"/>
        <w:spacing w:line="300" w:lineRule="auto"/>
        <w:ind w:firstLineChars="200" w:firstLine="643"/>
        <w:rPr>
          <w:rFonts w:ascii="仿宋_GB2312" w:eastAsia="仿宋_GB2312" w:hAnsi="仿宋" w:hint="eastAsia"/>
          <w:color w:val="000000"/>
          <w:sz w:val="32"/>
          <w:szCs w:val="32"/>
        </w:rPr>
      </w:pPr>
      <w:r w:rsidRPr="00A504A6">
        <w:rPr>
          <w:rFonts w:ascii="仿宋_GB2312" w:eastAsia="仿宋_GB2312" w:hAnsi="仿宋" w:cs="仿宋_GB2312" w:hint="eastAsia"/>
          <w:b/>
          <w:color w:val="000000"/>
          <w:sz w:val="32"/>
          <w:szCs w:val="32"/>
        </w:rPr>
        <w:t>财政预算投入：</w:t>
      </w:r>
      <w:r w:rsidRPr="00A504A6">
        <w:rPr>
          <w:rFonts w:ascii="仿宋_GB2312" w:eastAsia="仿宋_GB2312" w:hAnsi="仿宋" w:cs="仿宋_GB2312"/>
          <w:color w:val="000000"/>
          <w:sz w:val="32"/>
          <w:szCs w:val="32"/>
        </w:rPr>
        <w:t>600</w:t>
      </w:r>
      <w:r w:rsidRPr="00A504A6">
        <w:rPr>
          <w:rFonts w:ascii="仿宋_GB2312" w:eastAsia="仿宋_GB2312" w:hAnsi="仿宋" w:cs="仿宋_GB2312" w:hint="eastAsia"/>
          <w:color w:val="000000"/>
          <w:sz w:val="32"/>
          <w:szCs w:val="32"/>
        </w:rPr>
        <w:t>万元</w:t>
      </w:r>
    </w:p>
    <w:p w:rsidR="00A504A6" w:rsidRPr="00A504A6" w:rsidRDefault="00A504A6" w:rsidP="00A504A6">
      <w:pPr>
        <w:adjustRightInd w:val="0"/>
        <w:snapToGrid w:val="0"/>
        <w:spacing w:line="300" w:lineRule="auto"/>
        <w:ind w:firstLineChars="200" w:firstLine="643"/>
        <w:rPr>
          <w:rFonts w:ascii="仿宋_GB2312" w:eastAsia="仿宋_GB2312" w:hAnsi="仿宋" w:hint="eastAsia"/>
          <w:b/>
          <w:color w:val="000000"/>
          <w:sz w:val="32"/>
          <w:szCs w:val="32"/>
        </w:rPr>
      </w:pPr>
    </w:p>
    <w:p w:rsidR="00A504A6" w:rsidRPr="00A504A6" w:rsidRDefault="00A504A6" w:rsidP="00A504A6">
      <w:pPr>
        <w:adjustRightInd w:val="0"/>
        <w:snapToGrid w:val="0"/>
        <w:spacing w:line="300" w:lineRule="auto"/>
        <w:ind w:firstLineChars="200" w:firstLine="640"/>
        <w:jc w:val="left"/>
        <w:outlineLvl w:val="2"/>
        <w:rPr>
          <w:rFonts w:ascii="黑体" w:eastAsia="黑体" w:hAnsi="黑体" w:cs="黑体" w:hint="eastAsia"/>
          <w:color w:val="000000"/>
          <w:sz w:val="32"/>
          <w:szCs w:val="32"/>
        </w:rPr>
      </w:pPr>
      <w:bookmarkStart w:id="7" w:name="_Toc9599"/>
      <w:r w:rsidRPr="00A504A6">
        <w:rPr>
          <w:rFonts w:ascii="黑体" w:eastAsia="黑体" w:hAnsi="黑体" w:cs="黑体" w:hint="eastAsia"/>
          <w:color w:val="000000"/>
          <w:sz w:val="32"/>
          <w:szCs w:val="32"/>
        </w:rPr>
        <w:t>7.</w:t>
      </w:r>
      <w:bookmarkStart w:id="8" w:name="_Toc9994"/>
      <w:bookmarkEnd w:id="7"/>
      <w:r w:rsidRPr="00A504A6">
        <w:rPr>
          <w:rFonts w:ascii="黑体" w:eastAsia="黑体" w:hAnsi="黑体" w:cs="黑体" w:hint="eastAsia"/>
          <w:color w:val="000000"/>
          <w:sz w:val="32"/>
          <w:szCs w:val="32"/>
        </w:rPr>
        <w:t>全气候下高安全长续航</w:t>
      </w:r>
      <w:proofErr w:type="gramStart"/>
      <w:r w:rsidRPr="00A504A6">
        <w:rPr>
          <w:rFonts w:ascii="黑体" w:eastAsia="黑体" w:hAnsi="黑体" w:cs="黑体" w:hint="eastAsia"/>
          <w:color w:val="000000"/>
          <w:sz w:val="32"/>
          <w:szCs w:val="32"/>
        </w:rPr>
        <w:t>智能零碳动力</w:t>
      </w:r>
      <w:proofErr w:type="gramEnd"/>
      <w:r w:rsidRPr="00A504A6">
        <w:rPr>
          <w:rFonts w:ascii="黑体" w:eastAsia="黑体" w:hAnsi="黑体" w:cs="黑体" w:hint="eastAsia"/>
          <w:color w:val="000000"/>
          <w:sz w:val="32"/>
          <w:szCs w:val="32"/>
        </w:rPr>
        <w:t>电池研发</w:t>
      </w:r>
      <w:bookmarkEnd w:id="8"/>
    </w:p>
    <w:p w:rsidR="00A504A6" w:rsidRPr="00A504A6" w:rsidRDefault="00A504A6" w:rsidP="00A504A6">
      <w:pPr>
        <w:adjustRightInd w:val="0"/>
        <w:snapToGrid w:val="0"/>
        <w:spacing w:line="300" w:lineRule="auto"/>
        <w:ind w:firstLineChars="200" w:firstLine="643"/>
        <w:rPr>
          <w:rFonts w:ascii="仿宋_GB2312" w:eastAsia="仿宋_GB2312" w:hAnsi="仿宋" w:hint="eastAsia"/>
          <w:b/>
          <w:bCs/>
          <w:color w:val="000000"/>
          <w:sz w:val="32"/>
          <w:szCs w:val="32"/>
        </w:rPr>
      </w:pPr>
      <w:r w:rsidRPr="00A504A6">
        <w:rPr>
          <w:rFonts w:ascii="仿宋_GB2312" w:eastAsia="仿宋_GB2312" w:hAnsi="仿宋" w:hint="eastAsia"/>
          <w:b/>
          <w:bCs/>
          <w:color w:val="000000"/>
          <w:sz w:val="32"/>
          <w:szCs w:val="32"/>
        </w:rPr>
        <w:t>研究内容：</w:t>
      </w:r>
      <w:r w:rsidRPr="00A504A6">
        <w:rPr>
          <w:rFonts w:ascii="仿宋_GB2312" w:eastAsia="仿宋_GB2312" w:hAnsi="仿宋" w:cs="仿宋_GB2312" w:hint="eastAsia"/>
          <w:color w:val="000000"/>
          <w:kern w:val="0"/>
          <w:sz w:val="32"/>
          <w:szCs w:val="32"/>
        </w:rPr>
        <w:t>研发具有10℃及以下低温快</w:t>
      </w:r>
      <w:proofErr w:type="gramStart"/>
      <w:r w:rsidRPr="00A504A6">
        <w:rPr>
          <w:rFonts w:ascii="仿宋_GB2312" w:eastAsia="仿宋_GB2312" w:hAnsi="仿宋" w:cs="仿宋_GB2312" w:hint="eastAsia"/>
          <w:color w:val="000000"/>
          <w:kern w:val="0"/>
          <w:sz w:val="32"/>
          <w:szCs w:val="32"/>
        </w:rPr>
        <w:t>充功能</w:t>
      </w:r>
      <w:proofErr w:type="gramEnd"/>
      <w:r w:rsidRPr="00A504A6">
        <w:rPr>
          <w:rFonts w:ascii="仿宋_GB2312" w:eastAsia="仿宋_GB2312" w:hAnsi="仿宋" w:cs="仿宋_GB2312" w:hint="eastAsia"/>
          <w:color w:val="000000"/>
          <w:kern w:val="0"/>
          <w:sz w:val="32"/>
          <w:szCs w:val="32"/>
        </w:rPr>
        <w:t>的高安全动力电池产品。通过电</w:t>
      </w:r>
      <w:r w:rsidRPr="00A504A6">
        <w:rPr>
          <w:rFonts w:ascii="仿宋_GB2312" w:eastAsia="仿宋_GB2312" w:hAnsi="仿宋" w:hint="eastAsia"/>
          <w:color w:val="000000"/>
          <w:sz w:val="32"/>
          <w:szCs w:val="32"/>
        </w:rPr>
        <w:t>解液中关键添加剂的分子设计，改善材料与电解液之间的动力学性能，加快</w:t>
      </w:r>
      <w:proofErr w:type="gramStart"/>
      <w:r w:rsidRPr="00A504A6">
        <w:rPr>
          <w:rFonts w:ascii="仿宋_GB2312" w:eastAsia="仿宋_GB2312" w:hAnsi="仿宋" w:hint="eastAsia"/>
          <w:color w:val="000000"/>
          <w:sz w:val="32"/>
          <w:szCs w:val="32"/>
        </w:rPr>
        <w:t>锂</w:t>
      </w:r>
      <w:proofErr w:type="gramEnd"/>
      <w:r w:rsidRPr="00A504A6">
        <w:rPr>
          <w:rFonts w:ascii="仿宋_GB2312" w:eastAsia="仿宋_GB2312" w:hAnsi="仿宋" w:hint="eastAsia"/>
          <w:color w:val="000000"/>
          <w:sz w:val="32"/>
          <w:szCs w:val="32"/>
        </w:rPr>
        <w:t>离子传输的本征速率；通过正负极材料的颗粒设计，调节材料颗粒的体相、界面和聚集结构，建立从低维到高维的电子-离子传输网络，最小化低温对材料中锂离子传输的不利影响。实现高能量密度，提高续航里程。</w:t>
      </w:r>
    </w:p>
    <w:p w:rsidR="00A504A6" w:rsidRPr="00A504A6" w:rsidRDefault="00A504A6" w:rsidP="00A504A6">
      <w:pPr>
        <w:adjustRightInd w:val="0"/>
        <w:snapToGrid w:val="0"/>
        <w:spacing w:line="300" w:lineRule="auto"/>
        <w:ind w:firstLineChars="200" w:firstLine="643"/>
        <w:rPr>
          <w:rFonts w:ascii="仿宋_GB2312" w:eastAsia="仿宋_GB2312" w:hAnsi="仿宋" w:hint="eastAsia"/>
          <w:color w:val="000000"/>
          <w:sz w:val="32"/>
          <w:szCs w:val="32"/>
        </w:rPr>
      </w:pPr>
      <w:r w:rsidRPr="00A504A6">
        <w:rPr>
          <w:rFonts w:ascii="仿宋_GB2312" w:eastAsia="仿宋_GB2312" w:hAnsi="仿宋" w:hint="eastAsia"/>
          <w:b/>
          <w:bCs/>
          <w:color w:val="000000"/>
          <w:sz w:val="32"/>
          <w:szCs w:val="32"/>
        </w:rPr>
        <w:t>考核指标：</w:t>
      </w:r>
      <w:r w:rsidRPr="00A504A6">
        <w:rPr>
          <w:rFonts w:ascii="仿宋_GB2312" w:eastAsia="仿宋_GB2312" w:hAnsi="仿宋" w:hint="eastAsia"/>
          <w:color w:val="000000"/>
          <w:sz w:val="32"/>
          <w:szCs w:val="32"/>
        </w:rPr>
        <w:t>第一阶段10℃下保持80%最大续航里程，10</w:t>
      </w:r>
      <w:r w:rsidRPr="00A504A6">
        <w:rPr>
          <w:rFonts w:ascii="仿宋_GB2312" w:eastAsia="仿宋_GB2312" w:hAnsi="仿宋" w:hint="eastAsia"/>
          <w:color w:val="000000"/>
          <w:sz w:val="32"/>
          <w:szCs w:val="32"/>
        </w:rPr>
        <w:lastRenderedPageBreak/>
        <w:t>分钟充电300 km（折算里程），压力测试下无起火事件。第二阶段，电芯折算里程由500km提升到700km，-20℃时电芯折算里程从200 km提升到400 km。</w:t>
      </w:r>
    </w:p>
    <w:p w:rsidR="00A504A6" w:rsidRPr="00A504A6" w:rsidRDefault="00A504A6" w:rsidP="00A504A6">
      <w:pPr>
        <w:adjustRightInd w:val="0"/>
        <w:snapToGrid w:val="0"/>
        <w:spacing w:line="300" w:lineRule="auto"/>
        <w:ind w:firstLineChars="200" w:firstLine="643"/>
        <w:rPr>
          <w:rFonts w:ascii="仿宋_GB2312" w:eastAsia="仿宋_GB2312" w:hAnsi="仿宋" w:cs="仿宋_GB2312" w:hint="eastAsia"/>
          <w:b/>
          <w:color w:val="000000"/>
          <w:sz w:val="32"/>
          <w:szCs w:val="32"/>
        </w:rPr>
      </w:pPr>
      <w:r w:rsidRPr="00A504A6">
        <w:rPr>
          <w:rFonts w:ascii="仿宋_GB2312" w:eastAsia="仿宋_GB2312" w:hAnsi="仿宋" w:cs="仿宋_GB2312" w:hint="eastAsia"/>
          <w:b/>
          <w:color w:val="000000"/>
          <w:sz w:val="32"/>
          <w:szCs w:val="32"/>
        </w:rPr>
        <w:t>拟实施期限：</w:t>
      </w:r>
      <w:r w:rsidRPr="00A504A6">
        <w:rPr>
          <w:rFonts w:ascii="仿宋_GB2312" w:eastAsia="仿宋_GB2312" w:hAnsi="仿宋" w:cs="仿宋_GB2312" w:hint="eastAsia"/>
          <w:color w:val="000000"/>
          <w:sz w:val="32"/>
          <w:szCs w:val="32"/>
        </w:rPr>
        <w:t>不超过3年</w:t>
      </w:r>
    </w:p>
    <w:p w:rsidR="00A504A6" w:rsidRPr="00A504A6" w:rsidRDefault="00A504A6" w:rsidP="00A504A6">
      <w:pPr>
        <w:adjustRightInd w:val="0"/>
        <w:snapToGrid w:val="0"/>
        <w:spacing w:line="300" w:lineRule="auto"/>
        <w:ind w:firstLineChars="200" w:firstLine="643"/>
        <w:rPr>
          <w:rFonts w:ascii="仿宋_GB2312" w:eastAsia="仿宋_GB2312" w:hAnsi="仿宋"/>
          <w:color w:val="000000"/>
          <w:sz w:val="32"/>
          <w:szCs w:val="32"/>
        </w:rPr>
      </w:pPr>
      <w:r w:rsidRPr="00A504A6">
        <w:rPr>
          <w:rFonts w:ascii="仿宋_GB2312" w:eastAsia="仿宋_GB2312" w:hAnsi="仿宋" w:cs="仿宋_GB2312" w:hint="eastAsia"/>
          <w:b/>
          <w:color w:val="000000"/>
          <w:sz w:val="32"/>
          <w:szCs w:val="32"/>
        </w:rPr>
        <w:t>财政预算投入：</w:t>
      </w:r>
      <w:r w:rsidRPr="00A504A6">
        <w:rPr>
          <w:rFonts w:ascii="仿宋_GB2312" w:eastAsia="仿宋_GB2312" w:hAnsi="仿宋" w:cs="仿宋_GB2312"/>
          <w:color w:val="000000"/>
          <w:sz w:val="32"/>
          <w:szCs w:val="32"/>
        </w:rPr>
        <w:t>600</w:t>
      </w:r>
      <w:r w:rsidRPr="00A504A6">
        <w:rPr>
          <w:rFonts w:ascii="仿宋_GB2312" w:eastAsia="仿宋_GB2312" w:hAnsi="仿宋" w:cs="仿宋_GB2312" w:hint="eastAsia"/>
          <w:color w:val="000000"/>
          <w:sz w:val="32"/>
          <w:szCs w:val="32"/>
        </w:rPr>
        <w:t>万元</w:t>
      </w:r>
    </w:p>
    <w:p w:rsidR="00F25D63" w:rsidRPr="00A504A6" w:rsidRDefault="00F25D63">
      <w:pPr>
        <w:rPr>
          <w:rFonts w:hint="eastAsia"/>
        </w:rPr>
      </w:pPr>
      <w:bookmarkStart w:id="9" w:name="_GoBack"/>
      <w:bookmarkEnd w:id="9"/>
    </w:p>
    <w:sectPr w:rsidR="00F25D63" w:rsidRPr="00A504A6">
      <w:footerReference w:type="default" r:id="rId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B0" w:rsidRDefault="00A504A6">
    <w:pPr>
      <w:pStyle w:val="a5"/>
      <w:jc w:val="center"/>
    </w:pPr>
    <w:r>
      <w:fldChar w:fldCharType="begin"/>
    </w:r>
    <w:r>
      <w:instrText>PAGE   \* MERGEFORMAT</w:instrText>
    </w:r>
    <w:r>
      <w:fldChar w:fldCharType="separate"/>
    </w:r>
    <w:r w:rsidRPr="00A504A6">
      <w:rPr>
        <w:noProof/>
        <w:lang w:val="zh-CN"/>
      </w:rPr>
      <w:t>8</w:t>
    </w:r>
    <w:r>
      <w:fldChar w:fldCharType="end"/>
    </w:r>
  </w:p>
  <w:p w:rsidR="000553B0" w:rsidRDefault="00A504A6">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2E"/>
    <w:rsid w:val="0086702E"/>
    <w:rsid w:val="00A504A6"/>
    <w:rsid w:val="00CA57B6"/>
    <w:rsid w:val="00F25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B09EC-988A-40B6-AAB9-E0F124E7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B6"/>
    <w:pPr>
      <w:widowControl w:val="0"/>
      <w:jc w:val="both"/>
    </w:pPr>
    <w:rPr>
      <w:rFonts w:ascii="Times New Roman" w:hAnsi="Times New Roman"/>
      <w:kern w:val="2"/>
      <w:sz w:val="21"/>
      <w:szCs w:val="24"/>
    </w:rPr>
  </w:style>
  <w:style w:type="paragraph" w:styleId="1">
    <w:name w:val="heading 1"/>
    <w:basedOn w:val="a"/>
    <w:next w:val="a"/>
    <w:link w:val="10"/>
    <w:qFormat/>
    <w:rsid w:val="00CA57B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A57B6"/>
    <w:pPr>
      <w:keepNext/>
      <w:keepLines/>
      <w:suppressAutoHyphens/>
      <w:spacing w:before="260" w:after="260" w:line="410" w:lineRule="auto"/>
      <w:outlineLvl w:val="1"/>
    </w:pPr>
    <w:rPr>
      <w:rFonts w:ascii="Arial" w:eastAsia="黑体" w:hAnsi="Arial"/>
      <w:b/>
      <w:kern w:val="1"/>
      <w:sz w:val="32"/>
      <w:szCs w:val="20"/>
      <w:lang w:eastAsia="ar-SA"/>
    </w:rPr>
  </w:style>
  <w:style w:type="paragraph" w:styleId="3">
    <w:name w:val="heading 3"/>
    <w:basedOn w:val="a"/>
    <w:next w:val="a"/>
    <w:link w:val="30"/>
    <w:qFormat/>
    <w:rsid w:val="00CA57B6"/>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qFormat/>
    <w:rsid w:val="00CA57B6"/>
    <w:pPr>
      <w:widowControl/>
      <w:spacing w:before="480" w:after="0" w:line="276" w:lineRule="auto"/>
      <w:jc w:val="left"/>
      <w:outlineLvl w:val="9"/>
    </w:pPr>
    <w:rPr>
      <w:rFonts w:ascii="Cambria" w:hAnsi="Cambria"/>
      <w:color w:val="365F91"/>
      <w:kern w:val="0"/>
      <w:sz w:val="28"/>
      <w:szCs w:val="28"/>
    </w:rPr>
  </w:style>
  <w:style w:type="character" w:customStyle="1" w:styleId="10">
    <w:name w:val="标题 1 字符"/>
    <w:link w:val="1"/>
    <w:rsid w:val="00CA57B6"/>
    <w:rPr>
      <w:rFonts w:ascii="Times New Roman" w:hAnsi="Times New Roman"/>
      <w:b/>
      <w:bCs/>
      <w:kern w:val="44"/>
      <w:sz w:val="44"/>
      <w:szCs w:val="44"/>
    </w:rPr>
  </w:style>
  <w:style w:type="paragraph" w:customStyle="1" w:styleId="11">
    <w:name w:val="列出段落1"/>
    <w:basedOn w:val="a"/>
    <w:uiPriority w:val="34"/>
    <w:qFormat/>
    <w:rsid w:val="00CA57B6"/>
    <w:pPr>
      <w:ind w:firstLineChars="200" w:firstLine="420"/>
    </w:pPr>
  </w:style>
  <w:style w:type="character" w:customStyle="1" w:styleId="20">
    <w:name w:val="标题 2 字符"/>
    <w:link w:val="2"/>
    <w:rsid w:val="00CA57B6"/>
    <w:rPr>
      <w:rFonts w:ascii="Arial" w:eastAsia="黑体" w:hAnsi="Arial"/>
      <w:b/>
      <w:kern w:val="1"/>
      <w:sz w:val="32"/>
      <w:lang w:eastAsia="ar-SA"/>
    </w:rPr>
  </w:style>
  <w:style w:type="character" w:customStyle="1" w:styleId="30">
    <w:name w:val="标题 3 字符"/>
    <w:link w:val="3"/>
    <w:qFormat/>
    <w:rsid w:val="00CA57B6"/>
    <w:rPr>
      <w:rFonts w:ascii="Times New Roman" w:hAnsi="Times New Roman"/>
      <w:b/>
      <w:bCs/>
      <w:sz w:val="32"/>
      <w:szCs w:val="32"/>
    </w:rPr>
  </w:style>
  <w:style w:type="paragraph" w:styleId="a3">
    <w:name w:val="Document Map"/>
    <w:basedOn w:val="a"/>
    <w:link w:val="a4"/>
    <w:semiHidden/>
    <w:qFormat/>
    <w:rsid w:val="00CA57B6"/>
    <w:pPr>
      <w:shd w:val="clear" w:color="auto" w:fill="000080"/>
    </w:pPr>
    <w:rPr>
      <w:kern w:val="0"/>
      <w:sz w:val="20"/>
    </w:rPr>
  </w:style>
  <w:style w:type="character" w:customStyle="1" w:styleId="a4">
    <w:name w:val="文档结构图 字符"/>
    <w:link w:val="a3"/>
    <w:semiHidden/>
    <w:qFormat/>
    <w:rsid w:val="00CA57B6"/>
    <w:rPr>
      <w:rFonts w:ascii="Times New Roman" w:hAnsi="Times New Roman"/>
      <w:szCs w:val="24"/>
      <w:shd w:val="clear" w:color="auto" w:fill="000080"/>
    </w:rPr>
  </w:style>
  <w:style w:type="paragraph" w:styleId="a5">
    <w:name w:val="footer"/>
    <w:basedOn w:val="a"/>
    <w:link w:val="a6"/>
    <w:uiPriority w:val="99"/>
    <w:unhideWhenUsed/>
    <w:qFormat/>
    <w:rsid w:val="00A504A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504A6"/>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2023-03-28T07:46:00Z</dcterms:created>
  <dcterms:modified xsi:type="dcterms:W3CDTF">2023-03-28T07:47:00Z</dcterms:modified>
</cp:coreProperties>
</file>