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before="400" w:beforeAutospacing="0" w:after="200" w:afterAutospacing="0" w:line="560" w:lineRule="exact"/>
        <w:rPr>
          <w:rFonts w:ascii="黑体" w:hAnsi="黑体" w:eastAsia="黑体" w:cs="黑体"/>
          <w:kern w:val="44"/>
          <w:sz w:val="32"/>
          <w:szCs w:val="32"/>
        </w:rPr>
      </w:pPr>
      <w:r>
        <w:rPr>
          <w:rFonts w:hint="eastAsia" w:ascii="黑体" w:hAnsi="黑体" w:eastAsia="黑体" w:cs="黑体"/>
          <w:kern w:val="44"/>
          <w:sz w:val="32"/>
          <w:szCs w:val="32"/>
        </w:rPr>
        <w:t>附件2</w:t>
      </w:r>
    </w:p>
    <w:p>
      <w:pPr>
        <w:pStyle w:val="8"/>
        <w:spacing w:before="400" w:beforeAutospacing="0" w:after="200" w:afterAutospacing="0" w:line="560" w:lineRule="exact"/>
        <w:jc w:val="center"/>
        <w:rPr>
          <w:rFonts w:ascii="方正小标宋简体" w:hAnsi="方正小标宋简体" w:eastAsia="方正小标宋简体" w:cs="方正小标宋简体"/>
          <w:kern w:val="44"/>
          <w:sz w:val="44"/>
          <w:szCs w:val="44"/>
        </w:rPr>
      </w:pPr>
      <w:r>
        <w:rPr>
          <w:rFonts w:hint="eastAsia" w:ascii="方正小标宋简体" w:hAnsi="方正小标宋简体" w:eastAsia="方正小标宋简体" w:cs="方正小标宋简体"/>
          <w:kern w:val="44"/>
          <w:sz w:val="44"/>
          <w:szCs w:val="44"/>
        </w:rPr>
        <w:t>2024年度北京市中小企业服务券工作指南</w:t>
      </w:r>
    </w:p>
    <w:p>
      <w:pPr>
        <w:pStyle w:val="8"/>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北京市中小企业服务券（</w:t>
      </w:r>
      <w:r>
        <w:rPr>
          <w:rFonts w:hint="eastAsia" w:ascii="仿宋" w:hAnsi="仿宋" w:eastAsia="仿宋" w:cs="仿宋"/>
          <w:spacing w:val="15"/>
          <w:sz w:val="32"/>
          <w:szCs w:val="32"/>
          <w:u w:color="222222"/>
          <w:shd w:val="clear" w:color="auto" w:fill="FFFFFF"/>
        </w:rPr>
        <w:t>下称服务券</w:t>
      </w:r>
      <w:r>
        <w:rPr>
          <w:rFonts w:hint="eastAsia" w:ascii="仿宋_GB2312" w:hAnsi="仿宋_GB2312" w:eastAsia="仿宋_GB2312" w:cs="仿宋_GB2312"/>
          <w:kern w:val="0"/>
          <w:sz w:val="32"/>
          <w:szCs w:val="32"/>
          <w:shd w:val="clear" w:color="auto" w:fill="FFFFFF"/>
        </w:rPr>
        <w:t>）向符合</w:t>
      </w:r>
      <w:r>
        <w:rPr>
          <w:rFonts w:ascii="仿宋_GB2312" w:hAnsi="仿宋_GB2312" w:eastAsia="仿宋_GB2312" w:cs="仿宋_GB2312"/>
          <w:kern w:val="0"/>
          <w:sz w:val="32"/>
          <w:szCs w:val="32"/>
          <w:shd w:val="clear" w:color="auto" w:fill="FFFFFF"/>
        </w:rPr>
        <w:t>条件的北京市中小微</w:t>
      </w:r>
      <w:r>
        <w:rPr>
          <w:rFonts w:hint="eastAsia" w:ascii="仿宋_GB2312" w:hAnsi="仿宋_GB2312" w:eastAsia="仿宋_GB2312" w:cs="仿宋_GB2312"/>
          <w:kern w:val="0"/>
          <w:sz w:val="32"/>
          <w:szCs w:val="32"/>
          <w:shd w:val="clear" w:color="auto" w:fill="FFFFFF"/>
        </w:rPr>
        <w:t>企业</w:t>
      </w:r>
      <w:r>
        <w:rPr>
          <w:rFonts w:ascii="仿宋_GB2312" w:hAnsi="仿宋_GB2312" w:eastAsia="仿宋_GB2312" w:cs="仿宋_GB2312"/>
          <w:kern w:val="0"/>
          <w:sz w:val="32"/>
          <w:szCs w:val="32"/>
          <w:shd w:val="clear" w:color="auto" w:fill="FFFFFF"/>
        </w:rPr>
        <w:t>免费发放。</w:t>
      </w:r>
      <w:r>
        <w:rPr>
          <w:rFonts w:hint="eastAsia" w:ascii="仿宋_GB2312" w:hAnsi="仿宋_GB2312" w:eastAsia="仿宋_GB2312" w:cs="仿宋_GB2312"/>
          <w:kern w:val="0"/>
          <w:sz w:val="32"/>
          <w:szCs w:val="32"/>
          <w:shd w:val="clear" w:color="auto" w:fill="FFFFFF"/>
        </w:rPr>
        <w:t>通过“集采降价</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财政补贴”的</w:t>
      </w:r>
      <w:r>
        <w:rPr>
          <w:rFonts w:ascii="仿宋_GB2312" w:hAnsi="仿宋_GB2312" w:eastAsia="仿宋_GB2312" w:cs="仿宋_GB2312"/>
          <w:kern w:val="0"/>
          <w:sz w:val="32"/>
          <w:szCs w:val="32"/>
          <w:shd w:val="clear" w:color="auto" w:fill="FFFFFF"/>
        </w:rPr>
        <w:t>方式，公开征集遴选</w:t>
      </w:r>
      <w:r>
        <w:rPr>
          <w:rFonts w:hint="eastAsia" w:ascii="仿宋_GB2312" w:hAnsi="仿宋_GB2312" w:eastAsia="仿宋_GB2312" w:cs="仿宋_GB2312"/>
          <w:kern w:val="0"/>
          <w:sz w:val="32"/>
          <w:szCs w:val="32"/>
          <w:shd w:val="clear" w:color="auto" w:fill="FFFFFF"/>
        </w:rPr>
        <w:t>共性</w:t>
      </w:r>
      <w:r>
        <w:rPr>
          <w:rFonts w:ascii="仿宋_GB2312" w:hAnsi="仿宋_GB2312" w:eastAsia="仿宋_GB2312" w:cs="仿宋_GB2312"/>
          <w:kern w:val="0"/>
          <w:sz w:val="32"/>
          <w:szCs w:val="32"/>
          <w:shd w:val="clear" w:color="auto" w:fill="FFFFFF"/>
        </w:rPr>
        <w:t>需求高、</w:t>
      </w:r>
      <w:r>
        <w:rPr>
          <w:rFonts w:hint="eastAsia" w:ascii="仿宋_GB2312" w:hAnsi="仿宋_GB2312" w:eastAsia="仿宋_GB2312" w:cs="仿宋_GB2312"/>
          <w:kern w:val="0"/>
          <w:sz w:val="32"/>
          <w:szCs w:val="32"/>
          <w:shd w:val="clear" w:color="auto" w:fill="FFFFFF"/>
        </w:rPr>
        <w:t>通用性</w:t>
      </w:r>
      <w:r>
        <w:rPr>
          <w:rFonts w:ascii="仿宋_GB2312" w:hAnsi="仿宋_GB2312" w:eastAsia="仿宋_GB2312" w:cs="仿宋_GB2312"/>
          <w:kern w:val="0"/>
          <w:sz w:val="32"/>
          <w:szCs w:val="32"/>
          <w:shd w:val="clear" w:color="auto" w:fill="FFFFFF"/>
        </w:rPr>
        <w:t>强、质量好的</w:t>
      </w:r>
      <w:r>
        <w:rPr>
          <w:rFonts w:hint="eastAsia" w:ascii="仿宋_GB2312" w:hAnsi="仿宋_GB2312" w:eastAsia="仿宋_GB2312" w:cs="仿宋_GB2312"/>
          <w:kern w:val="0"/>
          <w:sz w:val="32"/>
          <w:szCs w:val="32"/>
          <w:shd w:val="clear" w:color="auto" w:fill="FFFFFF"/>
        </w:rPr>
        <w:t>服务产品，在</w:t>
      </w:r>
      <w:r>
        <w:rPr>
          <w:rFonts w:ascii="仿宋_GB2312" w:hAnsi="仿宋_GB2312" w:eastAsia="仿宋_GB2312" w:cs="仿宋_GB2312"/>
          <w:kern w:val="0"/>
          <w:sz w:val="32"/>
          <w:szCs w:val="32"/>
          <w:shd w:val="clear" w:color="auto" w:fill="FFFFFF"/>
        </w:rPr>
        <w:t>中小</w:t>
      </w:r>
      <w:r>
        <w:rPr>
          <w:rFonts w:hint="eastAsia" w:ascii="仿宋_GB2312" w:hAnsi="仿宋_GB2312" w:eastAsia="仿宋_GB2312" w:cs="仿宋_GB2312"/>
          <w:kern w:val="0"/>
          <w:sz w:val="32"/>
          <w:szCs w:val="32"/>
          <w:shd w:val="clear" w:color="auto" w:fill="FFFFFF"/>
        </w:rPr>
        <w:t>微</w:t>
      </w:r>
      <w:r>
        <w:rPr>
          <w:rFonts w:ascii="仿宋_GB2312" w:hAnsi="仿宋_GB2312" w:eastAsia="仿宋_GB2312" w:cs="仿宋_GB2312"/>
          <w:kern w:val="0"/>
          <w:sz w:val="32"/>
          <w:szCs w:val="32"/>
          <w:shd w:val="clear" w:color="auto" w:fill="FFFFFF"/>
        </w:rPr>
        <w:t>企业采购</w:t>
      </w:r>
      <w:r>
        <w:rPr>
          <w:rFonts w:hint="eastAsia" w:ascii="仿宋_GB2312" w:hAnsi="仿宋_GB2312" w:eastAsia="仿宋_GB2312" w:cs="仿宋_GB2312"/>
          <w:kern w:val="0"/>
          <w:sz w:val="32"/>
          <w:szCs w:val="32"/>
          <w:shd w:val="clear" w:color="auto" w:fill="FFFFFF"/>
        </w:rPr>
        <w:t>指定</w:t>
      </w:r>
      <w:r>
        <w:rPr>
          <w:rFonts w:ascii="仿宋_GB2312" w:hAnsi="仿宋_GB2312" w:eastAsia="仿宋_GB2312" w:cs="仿宋_GB2312"/>
          <w:kern w:val="0"/>
          <w:sz w:val="32"/>
          <w:szCs w:val="32"/>
          <w:shd w:val="clear" w:color="auto" w:fill="FFFFFF"/>
        </w:rPr>
        <w:t>产品</w:t>
      </w:r>
      <w:r>
        <w:rPr>
          <w:rFonts w:hint="eastAsia" w:ascii="仿宋_GB2312" w:hAnsi="仿宋_GB2312" w:eastAsia="仿宋_GB2312" w:cs="仿宋_GB2312"/>
          <w:kern w:val="0"/>
          <w:sz w:val="32"/>
          <w:szCs w:val="32"/>
          <w:shd w:val="clear" w:color="auto" w:fill="FFFFFF"/>
        </w:rPr>
        <w:t>时予以折扣</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服务券全</w:t>
      </w:r>
      <w:r>
        <w:rPr>
          <w:rFonts w:ascii="仿宋_GB2312" w:hAnsi="仿宋_GB2312" w:eastAsia="仿宋_GB2312" w:cs="仿宋_GB2312"/>
          <w:kern w:val="0"/>
          <w:sz w:val="32"/>
          <w:szCs w:val="32"/>
          <w:shd w:val="clear" w:color="auto" w:fill="FFFFFF"/>
        </w:rPr>
        <w:t>流程如图所示。</w:t>
      </w:r>
    </w:p>
    <w:p>
      <w:pPr>
        <w:pStyle w:val="8"/>
        <w:spacing w:beforeAutospacing="0" w:afterAutospacing="0" w:line="240" w:lineRule="atLeast"/>
        <w:jc w:val="center"/>
        <w:rPr>
          <w:rFonts w:ascii="方正小标宋简体" w:hAnsi="方正小标宋简体" w:eastAsia="方正小标宋简体" w:cs="方正小标宋简体"/>
          <w:kern w:val="44"/>
          <w:sz w:val="44"/>
          <w:szCs w:val="44"/>
        </w:rPr>
      </w:pPr>
      <w:r>
        <w:object>
          <v:shape id="_x0000_i1025" o:spt="75" type="#_x0000_t75" style="height:382.2pt;width:312.65pt;" o:ole="t" filled="f" o:preferrelative="t" stroked="f" coordsize="21600,21600">
            <v:path/>
            <v:fill on="f" focussize="0,0"/>
            <v:stroke on="f" joinstyle="miter"/>
            <v:imagedata r:id="rId7" o:title=""/>
            <o:lock v:ext="edit" aspectratio="t"/>
            <w10:wrap type="none"/>
            <w10:anchorlock/>
          </v:shape>
          <o:OLEObject Type="Embed" ProgID="Visio.Drawing.15" ShapeID="_x0000_i1025" DrawAspect="Content" ObjectID="_1468075725" r:id="rId6">
            <o:LockedField>false</o:LockedField>
          </o:OLEObject>
        </w:object>
      </w:r>
    </w:p>
    <w:p>
      <w:pPr>
        <w:pStyle w:val="8"/>
        <w:widowControl/>
        <w:snapToGrid w:val="0"/>
        <w:spacing w:beforeAutospacing="0" w:afterAutospacing="0" w:line="560" w:lineRule="exact"/>
        <w:ind w:firstLine="640" w:firstLineChars="200"/>
        <w:outlineLvl w:val="0"/>
        <w:rPr>
          <w:rFonts w:eastAsia="黑体"/>
          <w:kern w:val="0"/>
          <w:sz w:val="32"/>
          <w:szCs w:val="32"/>
          <w:shd w:val="clear" w:color="auto" w:fill="FFFFFF"/>
        </w:rPr>
      </w:pPr>
      <w:r>
        <w:rPr>
          <w:rFonts w:hint="eastAsia" w:eastAsia="黑体"/>
          <w:kern w:val="0"/>
          <w:sz w:val="32"/>
          <w:szCs w:val="32"/>
          <w:shd w:val="clear" w:color="auto" w:fill="FFFFFF"/>
        </w:rPr>
        <w:t>一</w:t>
      </w:r>
      <w:r>
        <w:rPr>
          <w:rFonts w:eastAsia="黑体"/>
          <w:kern w:val="0"/>
          <w:sz w:val="32"/>
          <w:szCs w:val="32"/>
          <w:shd w:val="clear" w:color="auto" w:fill="FFFFFF"/>
        </w:rPr>
        <w:t>、</w:t>
      </w:r>
      <w:r>
        <w:rPr>
          <w:rFonts w:hint="eastAsia" w:eastAsia="黑体"/>
          <w:kern w:val="0"/>
          <w:sz w:val="32"/>
          <w:szCs w:val="32"/>
          <w:shd w:val="clear" w:color="auto" w:fill="FFFFFF"/>
        </w:rPr>
        <w:t>服务产品征集</w:t>
      </w:r>
    </w:p>
    <w:p>
      <w:pPr>
        <w:pStyle w:val="8"/>
        <w:widowControl/>
        <w:snapToGrid w:val="0"/>
        <w:spacing w:beforeAutospacing="0" w:afterAutospacing="0" w:line="560" w:lineRule="exact"/>
        <w:ind w:firstLine="640" w:firstLineChars="200"/>
        <w:outlineLvl w:val="0"/>
        <w:rPr>
          <w:rFonts w:ascii="楷体_GB2312" w:eastAsia="楷体_GB2312"/>
          <w:kern w:val="0"/>
          <w:sz w:val="32"/>
          <w:szCs w:val="32"/>
          <w:shd w:val="clear" w:color="auto" w:fill="FFFFFF"/>
        </w:rPr>
      </w:pPr>
      <w:r>
        <w:rPr>
          <w:rFonts w:hint="eastAsia" w:ascii="楷体_GB2312" w:eastAsia="楷体_GB2312"/>
          <w:kern w:val="0"/>
          <w:sz w:val="32"/>
          <w:szCs w:val="32"/>
          <w:shd w:val="clear" w:color="auto" w:fill="FFFFFF"/>
        </w:rPr>
        <w:t>（一）征集方向</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数字化赋能服务：包括但不限于数字化、网络化、智能化诊断咨询服务。</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上云用云服务：包括但不限于在研发设计、生产制造方面提供上云用云解决方案。</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人才与培训服务：包括但不限于人才招聘、优秀人才引进、优秀人才猎头服务、提供整体人力资源解决方案、提升企业运营管理水平和企业家能力的高端培训服务等。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科技创新服务：包括但不限于技术诊断服务，技术成果检验检测、评价等。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成果转化服务：包括但不限于创新成果评估、试验、检验检测、开发服务等。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工业设计服务：包括但不限于概念设计、方案设计、外观设计、结构设计服务，工业级打样及敏捷制造、生产工艺、新产品导入服务等。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信息化开发服务：包括但不限于面向企业的生产、管理、营销等方面提供软件（程序）开发及IaaS、PaaS、SaaS等云服务，企业ERP等信息化系统建设，企业IT服务外包和信息化技术咨询等。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上市培育服务：包括但不限于为企业提供上市辅导、融资信息对接等。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财税审计服务：包括但不限于为企业提供财务审计、税务审计、代理记账、税收筹划、与财务以及税务等相关的咨询服务等。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市场开拓服务：包括但不限于为企业提供品牌咨询、新媒体推广、网络营销推广及为中小企业拓宽市场渠道、参与国内外经济技术交流与推介、参加国内省部级或国际展览展示活动，特别是拓宽国际市场渠道等。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sz w:val="32"/>
          <w:szCs w:val="32"/>
        </w:rPr>
      </w:pPr>
      <w:r>
        <w:rPr>
          <w:rFonts w:hint="eastAsia" w:ascii="仿宋_GB2312" w:hAnsi="仿宋_GB2312" w:eastAsia="仿宋_GB2312" w:cs="仿宋_GB2312"/>
          <w:sz w:val="32"/>
          <w:szCs w:val="32"/>
        </w:rPr>
        <w:t>法律咨询服务：包括但不限于为企业提供法律咨询服务、法律文本服务、劳动人事合规服务、常年法律顾问服务、商事诉讼/仲裁、知识产权争议、经济犯罪案件、劳动争议纠纷解决方案等。</w:t>
      </w:r>
    </w:p>
    <w:p>
      <w:pPr>
        <w:pStyle w:val="8"/>
        <w:widowControl/>
        <w:numPr>
          <w:ilvl w:val="0"/>
          <w:numId w:val="1"/>
        </w:numPr>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rPr>
        <w:t>中小企业创新创业发展所需要的其他服务。</w:t>
      </w:r>
    </w:p>
    <w:p>
      <w:pPr>
        <w:pStyle w:val="8"/>
        <w:widowControl/>
        <w:snapToGrid w:val="0"/>
        <w:spacing w:beforeAutospacing="0" w:afterAutospacing="0" w:line="560" w:lineRule="exact"/>
        <w:ind w:left="640"/>
        <w:rPr>
          <w:rFonts w:ascii="楷体_GB2312" w:hAnsi="仿宋_GB2312" w:eastAsia="楷体_GB2312" w:cs="仿宋_GB2312"/>
          <w:sz w:val="32"/>
          <w:szCs w:val="32"/>
        </w:rPr>
      </w:pPr>
      <w:r>
        <w:rPr>
          <w:rFonts w:hint="eastAsia" w:ascii="楷体_GB2312" w:hAnsi="仿宋_GB2312" w:eastAsia="楷体_GB2312" w:cs="仿宋_GB2312"/>
          <w:sz w:val="32"/>
          <w:szCs w:val="32"/>
        </w:rPr>
        <w:t>（二）产品要求</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1.产品具有完整的知识产权、销售体系及售后服务。能够为中小企业降本增效，或能够助力中小企业实现数字化转型升级、提升企业科技创新能力和应对危机能力。</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2.产品需为标准化产品，具有明确的服务内容和收费标准，具有相对透明的市场价格，且配券产品需较市场价格（该产品近三月内的平均价格）优惠8折以上。</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3</w:t>
      </w:r>
      <w:r>
        <w:rPr>
          <w:rFonts w:hint="eastAsia" w:ascii="仿宋_GB2312" w:hAnsi="仿宋_GB2312" w:eastAsia="仿宋_GB2312" w:cs="仿宋_GB2312"/>
          <w:kern w:val="0"/>
          <w:sz w:val="32"/>
          <w:szCs w:val="32"/>
          <w:shd w:val="clear" w:color="auto" w:fill="FFFFFF"/>
        </w:rPr>
        <w:t>.产品上年度在北京地区销量较好，合同订单增长率较高。服务过北京市“专精特新”中小企业和国家级“小巨人”企业的产品优先考虑。</w:t>
      </w:r>
    </w:p>
    <w:p>
      <w:pPr>
        <w:pStyle w:val="8"/>
        <w:widowControl/>
        <w:snapToGrid w:val="0"/>
        <w:spacing w:beforeAutospacing="0" w:afterAutospacing="0" w:line="560" w:lineRule="exact"/>
        <w:ind w:firstLine="640" w:firstLineChars="200"/>
        <w:outlineLvl w:val="0"/>
        <w:rPr>
          <w:rFonts w:eastAsia="黑体"/>
          <w:kern w:val="0"/>
          <w:sz w:val="32"/>
          <w:szCs w:val="32"/>
          <w:shd w:val="clear" w:color="auto" w:fill="FFFFFF"/>
        </w:rPr>
      </w:pPr>
      <w:r>
        <w:rPr>
          <w:rFonts w:hint="eastAsia" w:eastAsia="黑体"/>
          <w:kern w:val="0"/>
          <w:sz w:val="32"/>
          <w:szCs w:val="32"/>
          <w:shd w:val="clear" w:color="auto" w:fill="FFFFFF"/>
        </w:rPr>
        <w:t>二、服务</w:t>
      </w:r>
      <w:r>
        <w:rPr>
          <w:rFonts w:eastAsia="黑体"/>
          <w:kern w:val="0"/>
          <w:sz w:val="32"/>
          <w:szCs w:val="32"/>
          <w:shd w:val="clear" w:color="auto" w:fill="FFFFFF"/>
        </w:rPr>
        <w:t>机构</w:t>
      </w:r>
      <w:r>
        <w:rPr>
          <w:rFonts w:hint="eastAsia" w:eastAsia="黑体"/>
          <w:kern w:val="0"/>
          <w:sz w:val="32"/>
          <w:szCs w:val="32"/>
          <w:shd w:val="clear" w:color="auto" w:fill="FFFFFF"/>
        </w:rPr>
        <w:t>申请配券</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1.申请服务产品配券资格的服务机构，按要求提交相关资料，通过审核的服务产品具备服务券拟配券资格。</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2.结合服务券补贴方向和资金使用安排，市经信局组织对拟配券服务产品进行审议，通过审议的服务产品具备发券资格。</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3.申请条件</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(1)</w:t>
      </w:r>
      <w:r>
        <w:rPr>
          <w:rFonts w:hint="eastAsia" w:ascii="仿宋_GB2312" w:hAnsi="仿宋_GB2312" w:eastAsia="仿宋_GB2312" w:cs="仿宋_GB2312"/>
          <w:kern w:val="0"/>
          <w:sz w:val="32"/>
          <w:szCs w:val="32"/>
          <w:shd w:val="clear" w:color="auto" w:fill="FFFFFF"/>
        </w:rPr>
        <w:t>申请机构需拥有产品完整的知识产权、销售体系及售后服务。</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(2)</w:t>
      </w:r>
      <w:r>
        <w:rPr>
          <w:rFonts w:hint="eastAsia" w:ascii="仿宋_GB2312" w:hAnsi="仿宋_GB2312" w:eastAsia="仿宋_GB2312" w:cs="仿宋_GB2312"/>
          <w:kern w:val="0"/>
          <w:sz w:val="32"/>
          <w:szCs w:val="32"/>
          <w:shd w:val="clear" w:color="auto" w:fill="FFFFFF"/>
        </w:rPr>
        <w:t>申请机构需满足注册地址或分支机构在北京，具有行业影响力和较高信誉，服务企业满意度较高。</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(3)</w:t>
      </w:r>
      <w:r>
        <w:rPr>
          <w:rFonts w:hint="eastAsia" w:ascii="仿宋_GB2312" w:hAnsi="仿宋_GB2312" w:eastAsia="仿宋_GB2312" w:cs="仿宋_GB2312"/>
          <w:kern w:val="0"/>
          <w:sz w:val="32"/>
          <w:szCs w:val="32"/>
          <w:shd w:val="clear" w:color="auto" w:fill="FFFFFF"/>
        </w:rPr>
        <w:t>企业近3年在经营、环保、纳税等方面无严重失信行为记录，信用良好。</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(4)</w:t>
      </w:r>
      <w:r>
        <w:rPr>
          <w:rFonts w:hint="eastAsia" w:ascii="仿宋_GB2312" w:hAnsi="仿宋_GB2312" w:eastAsia="仿宋_GB2312" w:cs="仿宋_GB2312"/>
          <w:kern w:val="0"/>
          <w:sz w:val="32"/>
          <w:szCs w:val="32"/>
          <w:shd w:val="clear" w:color="auto" w:fill="FFFFFF"/>
        </w:rPr>
        <w:t>产品能够助力中小企业数字化转型升级、提升企业科技创新能力和应对危机能力。</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(5)</w:t>
      </w:r>
      <w:r>
        <w:rPr>
          <w:rFonts w:hint="eastAsia" w:ascii="仿宋_GB2312" w:hAnsi="仿宋_GB2312" w:eastAsia="仿宋_GB2312" w:cs="仿宋_GB2312"/>
          <w:kern w:val="0"/>
          <w:sz w:val="32"/>
          <w:szCs w:val="32"/>
          <w:shd w:val="clear" w:color="auto" w:fill="FFFFFF"/>
        </w:rPr>
        <w:t>产品能够提升中小企业经营效率，为企业生产经营降本增效。</w:t>
      </w:r>
    </w:p>
    <w:p>
      <w:pPr>
        <w:pStyle w:val="8"/>
        <w:widowControl/>
        <w:snapToGrid w:val="0"/>
        <w:spacing w:beforeAutospacing="0" w:afterAutospacing="0" w:line="560" w:lineRule="exact"/>
        <w:ind w:left="14" w:firstLine="626"/>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(6)</w:t>
      </w:r>
      <w:r>
        <w:rPr>
          <w:rFonts w:hint="eastAsia" w:ascii="仿宋_GB2312" w:hAnsi="仿宋_GB2312" w:eastAsia="仿宋_GB2312" w:cs="仿宋_GB2312"/>
          <w:kern w:val="0"/>
          <w:sz w:val="32"/>
          <w:szCs w:val="32"/>
          <w:shd w:val="clear" w:color="auto" w:fill="FFFFFF"/>
        </w:rPr>
        <w:t>产品上年度在北京地区销量较好，近两年在北京地区合同订单增长率较高。</w:t>
      </w:r>
    </w:p>
    <w:p>
      <w:pPr>
        <w:pStyle w:val="8"/>
        <w:widowControl/>
        <w:snapToGrid w:val="0"/>
        <w:spacing w:beforeAutospacing="0" w:afterAutospacing="0" w:line="560" w:lineRule="exact"/>
        <w:ind w:firstLine="42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（7）产品服务过北京市“专精特新”中小企业及“小巨人”企业的优先考虑。</w:t>
      </w:r>
    </w:p>
    <w:p>
      <w:pPr>
        <w:pStyle w:val="8"/>
        <w:widowControl/>
        <w:snapToGrid w:val="0"/>
        <w:spacing w:beforeAutospacing="0" w:afterAutospacing="0" w:line="560" w:lineRule="exact"/>
        <w:ind w:firstLine="640" w:firstLineChars="200"/>
        <w:outlineLvl w:val="0"/>
        <w:rPr>
          <w:rFonts w:eastAsia="黑体"/>
          <w:kern w:val="0"/>
          <w:sz w:val="32"/>
          <w:szCs w:val="32"/>
          <w:shd w:val="clear" w:color="auto" w:fill="FFFFFF"/>
        </w:rPr>
      </w:pPr>
      <w:r>
        <w:rPr>
          <w:rFonts w:hint="eastAsia" w:eastAsia="黑体"/>
          <w:kern w:val="0"/>
          <w:sz w:val="32"/>
          <w:szCs w:val="32"/>
          <w:shd w:val="clear" w:color="auto" w:fill="FFFFFF"/>
        </w:rPr>
        <w:t>三</w:t>
      </w:r>
      <w:r>
        <w:rPr>
          <w:rFonts w:eastAsia="黑体"/>
          <w:kern w:val="0"/>
          <w:sz w:val="32"/>
          <w:szCs w:val="32"/>
          <w:shd w:val="clear" w:color="auto" w:fill="FFFFFF"/>
        </w:rPr>
        <w:t>、</w:t>
      </w:r>
      <w:r>
        <w:rPr>
          <w:rFonts w:hint="eastAsia" w:eastAsia="黑体"/>
          <w:kern w:val="0"/>
          <w:sz w:val="32"/>
          <w:szCs w:val="32"/>
          <w:shd w:val="clear" w:color="auto" w:fill="FFFFFF"/>
        </w:rPr>
        <w:t>服务券发放对象和</w:t>
      </w:r>
      <w:r>
        <w:rPr>
          <w:rFonts w:eastAsia="黑体"/>
          <w:kern w:val="0"/>
          <w:sz w:val="32"/>
          <w:szCs w:val="32"/>
          <w:shd w:val="clear" w:color="auto" w:fill="FFFFFF"/>
        </w:rPr>
        <w:t>额度</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注册地址在北京，符合《中小企业划型标准规定》（工信部联企业〔2011〕300号）划定标准的中小微企业（</w:t>
      </w:r>
      <w:r>
        <w:rPr>
          <w:rFonts w:hint="eastAsia" w:ascii="仿宋_GB2312" w:hAnsi="仿宋_GB2312" w:eastAsia="仿宋_GB2312" w:cs="仿宋_GB2312"/>
          <w:sz w:val="32"/>
          <w:szCs w:val="32"/>
          <w:shd w:val="clear" w:color="auto" w:fill="FFFFFF"/>
        </w:rPr>
        <w:t>北京通企服版APP中的“企业划型自测服务”自测）。</w:t>
      </w:r>
      <w:r>
        <w:rPr>
          <w:rFonts w:hint="eastAsia" w:ascii="仿宋_GB2312" w:hAnsi="仿宋_GB2312" w:eastAsia="仿宋_GB2312" w:cs="仿宋_GB2312"/>
          <w:kern w:val="0"/>
          <w:sz w:val="32"/>
          <w:szCs w:val="32"/>
          <w:shd w:val="clear" w:color="auto" w:fill="FFFFFF"/>
        </w:rPr>
        <w:t>按领用企业类别，服务券发放设置不同上限。其中，</w:t>
      </w:r>
      <w:r>
        <w:rPr>
          <w:rFonts w:hint="eastAsia" w:ascii="仿宋_GB2312" w:hAnsi="仿宋_GB2312" w:eastAsia="仿宋_GB2312" w:cs="仿宋_GB2312"/>
          <w:color w:val="000000"/>
          <w:sz w:val="32"/>
          <w:szCs w:val="36"/>
          <w:shd w:val="clear" w:color="auto" w:fill="FFFFFF"/>
        </w:rPr>
        <w:t>北京市普通中小微企业服务券领</w:t>
      </w:r>
      <w:r>
        <w:rPr>
          <w:rFonts w:ascii="仿宋_GB2312" w:hAnsi="仿宋_GB2312" w:eastAsia="仿宋_GB2312" w:cs="仿宋_GB2312"/>
          <w:color w:val="000000"/>
          <w:sz w:val="32"/>
          <w:szCs w:val="36"/>
          <w:shd w:val="clear" w:color="auto" w:fill="FFFFFF"/>
        </w:rPr>
        <w:t>用</w:t>
      </w:r>
      <w:r>
        <w:rPr>
          <w:rFonts w:hint="eastAsia" w:ascii="仿宋_GB2312" w:hAnsi="仿宋_GB2312" w:eastAsia="仿宋_GB2312" w:cs="仿宋_GB2312"/>
          <w:color w:val="000000"/>
          <w:sz w:val="32"/>
          <w:szCs w:val="36"/>
          <w:shd w:val="clear" w:color="auto" w:fill="FFFFFF"/>
        </w:rPr>
        <w:t>额度为2万元，北京市“专精特新”中小企业为10万元，北京地区国家级专精特新“小巨人”企业为20万元。</w:t>
      </w:r>
    </w:p>
    <w:p>
      <w:pPr>
        <w:pStyle w:val="8"/>
        <w:widowControl/>
        <w:snapToGrid w:val="0"/>
        <w:spacing w:beforeAutospacing="0" w:afterAutospacing="0" w:line="560" w:lineRule="exact"/>
        <w:ind w:firstLine="640" w:firstLineChars="200"/>
        <w:outlineLvl w:val="0"/>
        <w:rPr>
          <w:rFonts w:eastAsia="黑体"/>
          <w:kern w:val="0"/>
          <w:sz w:val="32"/>
          <w:szCs w:val="32"/>
          <w:shd w:val="clear" w:color="auto" w:fill="FFFFFF"/>
        </w:rPr>
      </w:pPr>
      <w:r>
        <w:rPr>
          <w:rFonts w:hint="eastAsia" w:eastAsia="黑体"/>
          <w:kern w:val="0"/>
          <w:sz w:val="32"/>
          <w:szCs w:val="32"/>
          <w:shd w:val="clear" w:color="auto" w:fill="FFFFFF"/>
        </w:rPr>
        <w:t>四</w:t>
      </w:r>
      <w:r>
        <w:rPr>
          <w:rFonts w:eastAsia="黑体"/>
          <w:kern w:val="0"/>
          <w:sz w:val="32"/>
          <w:szCs w:val="32"/>
          <w:shd w:val="clear" w:color="auto" w:fill="FFFFFF"/>
        </w:rPr>
        <w:t>、</w:t>
      </w:r>
      <w:r>
        <w:rPr>
          <w:rFonts w:hint="eastAsia" w:eastAsia="黑体"/>
          <w:kern w:val="0"/>
          <w:sz w:val="32"/>
          <w:szCs w:val="32"/>
          <w:shd w:val="clear" w:color="auto" w:fill="FFFFFF"/>
        </w:rPr>
        <w:t>服务券</w:t>
      </w:r>
      <w:r>
        <w:rPr>
          <w:rFonts w:eastAsia="黑体"/>
          <w:kern w:val="0"/>
          <w:sz w:val="32"/>
          <w:szCs w:val="32"/>
          <w:shd w:val="clear" w:color="auto" w:fill="FFFFFF"/>
        </w:rPr>
        <w:t>使用</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2024年北京市中小企业服务券的领取、使用、兑付和验收等均在北京通企服版APP上进行。</w:t>
      </w:r>
    </w:p>
    <w:p>
      <w:pPr>
        <w:pStyle w:val="8"/>
        <w:widowControl/>
        <w:snapToGrid w:val="0"/>
        <w:spacing w:beforeAutospacing="0" w:afterAutospacing="0" w:line="560" w:lineRule="exact"/>
        <w:ind w:firstLine="640" w:firstLineChars="200"/>
        <w:outlineLvl w:val="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（一）领券</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服务券申领。企业需在pc端完成北京市统一身份认证（北京市企业认证</w:t>
      </w:r>
      <w:r>
        <w:rPr>
          <w:rFonts w:ascii="仿宋_GB2312" w:hAnsi="仿宋_GB2312" w:eastAsia="仿宋_GB2312" w:cs="仿宋_GB2312"/>
          <w:kern w:val="0"/>
          <w:sz w:val="32"/>
          <w:szCs w:val="32"/>
          <w:shd w:val="clear" w:color="auto" w:fill="FFFFFF"/>
        </w:rPr>
        <w:t>https://portal.bjt.beijing.gov.cn/p/login/login.html</w:t>
      </w:r>
      <w:r>
        <w:rPr>
          <w:rFonts w:hint="eastAsia" w:ascii="仿宋_GB2312" w:hAnsi="仿宋_GB2312" w:eastAsia="仿宋_GB2312" w:cs="仿宋_GB2312"/>
          <w:kern w:val="0"/>
          <w:sz w:val="32"/>
          <w:szCs w:val="32"/>
          <w:shd w:val="clear" w:color="auto" w:fill="FFFFFF"/>
        </w:rPr>
        <w:t>），并同时登录北京通企服版APP完成企业划型认证。完成</w:t>
      </w:r>
      <w:r>
        <w:rPr>
          <w:rFonts w:ascii="仿宋_GB2312" w:hAnsi="仿宋_GB2312" w:eastAsia="仿宋_GB2312" w:cs="仿宋_GB2312"/>
          <w:kern w:val="0"/>
          <w:sz w:val="32"/>
          <w:szCs w:val="32"/>
          <w:shd w:val="clear" w:color="auto" w:fill="FFFFFF"/>
        </w:rPr>
        <w:t>以上两步认证</w:t>
      </w:r>
      <w:r>
        <w:rPr>
          <w:rFonts w:hint="eastAsia" w:ascii="仿宋_GB2312" w:hAnsi="仿宋_GB2312" w:eastAsia="仿宋_GB2312" w:cs="仿宋_GB2312"/>
          <w:kern w:val="0"/>
          <w:sz w:val="32"/>
          <w:szCs w:val="32"/>
          <w:shd w:val="clear" w:color="auto" w:fill="FFFFFF"/>
        </w:rPr>
        <w:t>的企业在</w:t>
      </w:r>
      <w:r>
        <w:rPr>
          <w:rFonts w:ascii="仿宋_GB2312" w:hAnsi="仿宋_GB2312" w:eastAsia="仿宋_GB2312" w:cs="仿宋_GB2312"/>
          <w:kern w:val="0"/>
          <w:sz w:val="32"/>
          <w:szCs w:val="32"/>
          <w:shd w:val="clear" w:color="auto" w:fill="FFFFFF"/>
        </w:rPr>
        <w:t>其</w:t>
      </w:r>
      <w:r>
        <w:rPr>
          <w:rFonts w:hint="eastAsia" w:ascii="仿宋_GB2312" w:hAnsi="仿宋_GB2312" w:eastAsia="仿宋_GB2312" w:cs="仿宋_GB2312"/>
          <w:kern w:val="0"/>
          <w:sz w:val="32"/>
          <w:szCs w:val="32"/>
          <w:shd w:val="clear" w:color="auto" w:fill="FFFFFF"/>
        </w:rPr>
        <w:t>北京通企服版账户中默认获得对应的服务券</w:t>
      </w:r>
      <w:r>
        <w:rPr>
          <w:rFonts w:ascii="仿宋_GB2312" w:hAnsi="仿宋_GB2312" w:eastAsia="仿宋_GB2312" w:cs="仿宋_GB2312"/>
          <w:kern w:val="0"/>
          <w:sz w:val="32"/>
          <w:szCs w:val="32"/>
          <w:shd w:val="clear" w:color="auto" w:fill="FFFFFF"/>
        </w:rPr>
        <w:t>使用</w:t>
      </w:r>
      <w:r>
        <w:rPr>
          <w:rFonts w:hint="eastAsia" w:ascii="仿宋_GB2312" w:hAnsi="仿宋_GB2312" w:eastAsia="仿宋_GB2312" w:cs="仿宋_GB2312"/>
          <w:kern w:val="0"/>
          <w:sz w:val="32"/>
          <w:szCs w:val="32"/>
          <w:shd w:val="clear" w:color="auto" w:fill="FFFFFF"/>
        </w:rPr>
        <w:t>额度。</w:t>
      </w:r>
    </w:p>
    <w:p>
      <w:pPr>
        <w:pStyle w:val="8"/>
        <w:widowControl/>
        <w:snapToGrid w:val="0"/>
        <w:spacing w:beforeAutospacing="0" w:afterAutospacing="0" w:line="560" w:lineRule="exact"/>
        <w:ind w:firstLine="640" w:firstLineChars="200"/>
        <w:outlineLvl w:val="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（二）用券</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信用情况确认。企业近3年在经营、环保、纳税等方面无严重失信行为记录（“信用中国（北京）”http://creditbj.jxj.beijing.gov.cn/credit-portal/查询无“严重负面”事项），未被纳入失信被执行人名单（“全国法院失信被执行人名单信息公布与查询”网站http://zxgk.court.gov.cn/shixin/查询无事项）。无信用中国证明材料的（如律师事务所），行业认可的信用证明文件亦可。</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2.在线购买产品。企业在北京通企服版APP“服务券优惠专区”等页面选择配券产品下单，在有效期内的订单对应的优惠额度占用企业当年领用额度。</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3.先用先得。每个配券产品的优惠数量有限，按照企业下单的先后顺序至用完为止；企业领取服务券后应在规定的有效期内使用，过期作废。</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4.服务机构接单。服务机构与企业接洽，商谈具体服务内容，并在企业在线下单后48小时内决定是否接单，如超48小时未接单，订单取消，服务券领取失效，不再占用企业当年领用额度。</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5.服务券有效期（自下单之日起）一般为30天。具有特殊需要的服务产品可适当延长，但最长不超过60天。</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6.单笔交易中</w:t>
      </w:r>
      <w:r>
        <w:rPr>
          <w:rFonts w:ascii="仿宋_GB2312" w:hAnsi="仿宋_GB2312" w:eastAsia="仿宋_GB2312" w:cs="仿宋_GB2312"/>
          <w:kern w:val="0"/>
          <w:sz w:val="32"/>
          <w:szCs w:val="32"/>
          <w:shd w:val="clear" w:color="auto" w:fill="FFFFFF"/>
        </w:rPr>
        <w:t>，服务券</w:t>
      </w:r>
      <w:r>
        <w:rPr>
          <w:rFonts w:hint="eastAsia" w:ascii="仿宋_GB2312" w:hAnsi="仿宋_GB2312" w:eastAsia="仿宋_GB2312" w:cs="仿宋_GB2312"/>
          <w:kern w:val="0"/>
          <w:sz w:val="32"/>
          <w:szCs w:val="32"/>
          <w:shd w:val="clear" w:color="auto" w:fill="FFFFFF"/>
        </w:rPr>
        <w:t>补贴金额最高不超过合同额30%且不超过5万元。</w:t>
      </w:r>
    </w:p>
    <w:p>
      <w:pPr>
        <w:pStyle w:val="8"/>
        <w:widowControl/>
        <w:snapToGrid w:val="0"/>
        <w:spacing w:beforeAutospacing="0" w:afterAutospacing="0" w:line="560" w:lineRule="exact"/>
        <w:ind w:firstLine="56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28"/>
          <w:szCs w:val="28"/>
          <w:shd w:val="clear" w:color="auto" w:fill="FFFFFF"/>
        </w:rPr>
        <w:t>7.</w:t>
      </w:r>
      <w:r>
        <w:rPr>
          <w:rFonts w:hint="eastAsia" w:ascii="仿宋_GB2312" w:hAnsi="仿宋_GB2312" w:eastAsia="仿宋_GB2312" w:cs="仿宋_GB2312"/>
          <w:kern w:val="0"/>
          <w:sz w:val="32"/>
          <w:szCs w:val="32"/>
          <w:shd w:val="clear" w:color="auto" w:fill="FFFFFF"/>
        </w:rPr>
        <w:t>签订服务合同。服务机构与企业签订的服务合同中，服务产品与用券产品一致；合同条款须明确服务券抵用额度和企业自付额度；合同签订日期、服务开始时间不得早于企业在线下单日期；合同内用列表形式体现系统订单编号、系统下单时间及产品名称等信息。服务券补贴的服务周期不超过1年（合同周期超过一年的，按照合同总金额平均折算出一年周期对应的合同金额进行补贴）。</w:t>
      </w:r>
    </w:p>
    <w:p>
      <w:pPr>
        <w:pStyle w:val="8"/>
        <w:widowControl/>
        <w:snapToGrid w:val="0"/>
        <w:spacing w:beforeAutospacing="0" w:afterAutospacing="0" w:line="560" w:lineRule="exact"/>
        <w:ind w:firstLine="640" w:firstLineChars="200"/>
        <w:outlineLvl w:val="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（三）满意度评价</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服务机构按合同约定提供服务，合同履行完毕后，企业在北京通企服版APP确认服务完成并对服务商提供服务等内容进行评价。</w:t>
      </w:r>
    </w:p>
    <w:p>
      <w:pPr>
        <w:pStyle w:val="8"/>
        <w:widowControl/>
        <w:snapToGrid w:val="0"/>
        <w:spacing w:beforeAutospacing="0" w:afterAutospacing="0" w:line="560" w:lineRule="exact"/>
        <w:ind w:firstLine="640" w:firstLineChars="200"/>
        <w:outlineLvl w:val="0"/>
        <w:rPr>
          <w:rFonts w:ascii="黑体" w:hAnsi="黑体" w:eastAsia="黑体"/>
          <w:kern w:val="0"/>
          <w:sz w:val="32"/>
          <w:szCs w:val="32"/>
          <w:shd w:val="clear" w:color="auto" w:fill="FFFFFF"/>
        </w:rPr>
      </w:pPr>
      <w:r>
        <w:rPr>
          <w:rFonts w:ascii="黑体" w:hAnsi="黑体" w:eastAsia="黑体"/>
          <w:kern w:val="0"/>
          <w:sz w:val="32"/>
          <w:szCs w:val="32"/>
          <w:shd w:val="clear" w:color="auto" w:fill="FFFFFF"/>
        </w:rPr>
        <w:t>五、服务券兑付</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服务机构申请兑券。服务机构在服务券有效期内上传盖章版的服务合同、盖章版的中小微企业划型及用券承诺、收款凭证（日期不得早于合同签订日期）、发票（包含服务券抵用额度和企业自付额度，日期不得早于合同签订日期）等资料申请兑券。</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2.确认服务券额度。评审机构在服务机构申请兑券后通过线上评审系统给出初审结果，并报市经信局。</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3.集中兑付。市经信局定期分批对服务券领用情况进行汇总确认。按规定向社会公示兑付服务券服务机构名称、服务产品、兑付金额，接受社会监督和意见反馈，公示期满后市经信局按规定办理资金拨付手续。</w:t>
      </w:r>
    </w:p>
    <w:p>
      <w:pPr>
        <w:pStyle w:val="8"/>
        <w:widowControl/>
        <w:snapToGrid w:val="0"/>
        <w:spacing w:beforeAutospacing="0" w:afterAutospacing="0" w:line="560" w:lineRule="exact"/>
        <w:ind w:firstLine="640" w:firstLineChars="200"/>
        <w:outlineLvl w:val="0"/>
        <w:rPr>
          <w:rFonts w:eastAsia="黑体"/>
          <w:kern w:val="0"/>
          <w:sz w:val="32"/>
          <w:szCs w:val="32"/>
          <w:shd w:val="clear" w:color="auto" w:fill="FFFFFF"/>
        </w:rPr>
      </w:pPr>
      <w:r>
        <w:rPr>
          <w:rFonts w:hint="eastAsia" w:eastAsia="黑体"/>
          <w:kern w:val="0"/>
          <w:sz w:val="32"/>
          <w:szCs w:val="32"/>
          <w:shd w:val="clear" w:color="auto" w:fill="FFFFFF"/>
        </w:rPr>
        <w:t>六</w:t>
      </w:r>
      <w:r>
        <w:rPr>
          <w:rFonts w:eastAsia="黑体"/>
          <w:kern w:val="0"/>
          <w:sz w:val="32"/>
          <w:szCs w:val="32"/>
          <w:shd w:val="clear" w:color="auto" w:fill="FFFFFF"/>
        </w:rPr>
        <w:t>、</w:t>
      </w:r>
      <w:r>
        <w:rPr>
          <w:rFonts w:hint="eastAsia" w:eastAsia="黑体"/>
          <w:kern w:val="0"/>
          <w:sz w:val="32"/>
          <w:szCs w:val="32"/>
          <w:shd w:val="clear" w:color="auto" w:fill="FFFFFF"/>
        </w:rPr>
        <w:t>相关</w:t>
      </w:r>
      <w:r>
        <w:rPr>
          <w:rFonts w:eastAsia="黑体"/>
          <w:kern w:val="0"/>
          <w:sz w:val="32"/>
          <w:szCs w:val="32"/>
          <w:shd w:val="clear" w:color="auto" w:fill="FFFFFF"/>
        </w:rPr>
        <w:t>要求</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1.企业和服务机构应当按照有关规定领相取、使用、兑付服务券，严格执行关财务制度和会计核算规定，合法使用服务券，并且自觉接受相关业务管理部门的监督检查。</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2.市经信局对服务券资金实施效果、服务券使用及企业合同执行情况进行抽查检查。</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服务券的申领、使用和兑付不得弄虚作假，不得转让、赠送、买卖等。服务券兑付后，企业和服务机构有未开展实质服务或全部、部分退款情况的，服务机构应主动上报北京市中小企业公共服务平台，并配合做好后续资金退回事宜。</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企业和服务机构有下列行为之一的,终止其服务产品交易，追回补贴资金，取消涉事企业领券资格和服务机构资格，3年内不再受理其相关公共政策支持资金的申请，并按信用管理规定将责任单位和人员纳入信用惩戒体系。违规违法行为按照有关规定处理，涉嫌犯罪的依法移送司法机关处理。</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（1）转让、赠送和买卖服务券的；</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（2）故意隐瞒服务机构与企业存在影响公平公正市场交易的；</w:t>
      </w:r>
    </w:p>
    <w:p>
      <w:pPr>
        <w:pStyle w:val="8"/>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（3）采取虚构服务券合同或者提高合同金额等方式，套取服务券资金的；</w:t>
      </w:r>
    </w:p>
    <w:p>
      <w:pPr>
        <w:pStyle w:val="8"/>
        <w:widowControl/>
        <w:snapToGrid w:val="0"/>
        <w:spacing w:beforeAutospacing="0" w:afterAutospacing="0" w:line="560" w:lineRule="exact"/>
        <w:ind w:firstLine="640" w:firstLineChars="20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（4）违反本指南规定的其他行为。</w:t>
      </w:r>
    </w:p>
    <w:p>
      <w:pPr>
        <w:pStyle w:val="8"/>
        <w:widowControl/>
        <w:snapToGrid w:val="0"/>
        <w:spacing w:beforeAutospacing="0" w:afterAutospacing="0" w:line="560" w:lineRule="exact"/>
        <w:ind w:firstLine="640" w:firstLineChars="200"/>
        <w:rPr>
          <w:rFonts w:hint="eastAsia" w:ascii="仿宋_GB2312" w:hAnsi="仿宋_GB2312" w:eastAsia="仿宋_GB2312" w:cs="仿宋_GB2312"/>
          <w:kern w:val="0"/>
          <w:sz w:val="32"/>
          <w:szCs w:val="32"/>
          <w:shd w:val="clear" w:color="auto" w:fill="FFFFFF"/>
        </w:rPr>
      </w:pPr>
    </w:p>
    <w:p>
      <w:pPr>
        <w:pStyle w:val="8"/>
        <w:widowControl/>
        <w:spacing w:beforeAutospacing="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rPr>
        <w:t>附件</w:t>
      </w:r>
      <w:r>
        <w:rPr>
          <w:rFonts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1.</w:t>
      </w:r>
      <w:r>
        <w:rPr>
          <w:rFonts w:hint="eastAsia" w:ascii="仿宋_GB2312" w:hAnsi="仿宋_GB2312" w:eastAsia="仿宋_GB2312" w:cs="仿宋_GB2312"/>
          <w:sz w:val="32"/>
          <w:szCs w:val="32"/>
        </w:rPr>
        <w:t>服务券配券产品申请材料清单</w:t>
      </w:r>
    </w:p>
    <w:p>
      <w:pPr>
        <w:pStyle w:val="8"/>
        <w:widowControl/>
        <w:snapToGrid w:val="0"/>
        <w:spacing w:beforeAutospacing="0" w:afterAutospacing="0" w:line="560" w:lineRule="exact"/>
        <w:ind w:firstLine="1600" w:firstLineChars="5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.服务券配券产品</w:t>
      </w:r>
      <w:r>
        <w:rPr>
          <w:rFonts w:ascii="仿宋_GB2312" w:hAnsi="仿宋_GB2312" w:eastAsia="仿宋_GB2312" w:cs="仿宋_GB2312"/>
          <w:sz w:val="32"/>
          <w:szCs w:val="32"/>
        </w:rPr>
        <w:t>申请</w:t>
      </w:r>
      <w:r>
        <w:rPr>
          <w:rFonts w:hint="eastAsia" w:ascii="仿宋_GB2312" w:hAnsi="仿宋_GB2312" w:eastAsia="仿宋_GB2312" w:cs="仿宋_GB2312"/>
          <w:sz w:val="32"/>
          <w:szCs w:val="32"/>
        </w:rPr>
        <w:t>操作指南</w:t>
      </w:r>
    </w:p>
    <w:p>
      <w:pPr>
        <w:pStyle w:val="8"/>
        <w:widowControl/>
        <w:snapToGrid w:val="0"/>
        <w:spacing w:beforeAutospacing="0" w:afterAutospacing="0" w:line="560" w:lineRule="exact"/>
        <w:ind w:firstLine="1600" w:firstLineChars="500"/>
        <w:rPr>
          <w:rFonts w:hint="eastAsia" w:ascii="仿宋_GB2312" w:hAnsi="仿宋_GB2312" w:eastAsia="仿宋_GB2312" w:cs="仿宋_GB2312"/>
          <w:sz w:val="32"/>
          <w:szCs w:val="32"/>
          <w:lang w:eastAsia="zh-CN"/>
        </w:rPr>
        <w:sectPr>
          <w:footerReference r:id="rId3" w:type="default"/>
          <w:pgSz w:w="11906" w:h="16838"/>
          <w:pgMar w:top="1701" w:right="1474" w:bottom="1701" w:left="1587" w:header="851" w:footer="992" w:gutter="0"/>
          <w:pgNumType w:fmt="numberInDash"/>
          <w:cols w:space="0" w:num="1"/>
          <w:docGrid w:type="lines" w:linePitch="312" w:charSpace="0"/>
        </w:sectPr>
      </w:pPr>
      <w:r>
        <w:rPr>
          <w:rFonts w:hint="eastAsia" w:ascii="仿宋_GB2312" w:hAnsi="仿宋_GB2312" w:eastAsia="仿宋_GB2312" w:cs="仿宋_GB2312"/>
          <w:sz w:val="32"/>
          <w:szCs w:val="32"/>
        </w:rPr>
        <w:t>3.服务券</w:t>
      </w:r>
      <w:r>
        <w:rPr>
          <w:rFonts w:ascii="仿宋_GB2312" w:hAnsi="仿宋_GB2312" w:eastAsia="仿宋_GB2312" w:cs="仿宋_GB2312"/>
          <w:sz w:val="32"/>
          <w:szCs w:val="32"/>
        </w:rPr>
        <w:t>领用操作</w:t>
      </w:r>
      <w:r>
        <w:rPr>
          <w:rFonts w:hint="eastAsia" w:ascii="仿宋_GB2312" w:hAnsi="仿宋_GB2312" w:eastAsia="仿宋_GB2312" w:cs="仿宋_GB2312"/>
          <w:sz w:val="32"/>
          <w:szCs w:val="32"/>
          <w:lang w:eastAsia="zh-CN"/>
        </w:rPr>
        <w:t>指南</w:t>
      </w:r>
      <w:bookmarkStart w:id="0" w:name="_GoBack"/>
      <w:bookmarkEnd w:id="0"/>
    </w:p>
    <w:tbl>
      <w:tblPr>
        <w:tblStyle w:val="12"/>
        <w:tblW w:w="9770" w:type="dxa"/>
        <w:tblInd w:w="-252" w:type="dxa"/>
        <w:tblLayout w:type="fixed"/>
        <w:tblCellMar>
          <w:top w:w="0" w:type="dxa"/>
          <w:left w:w="108" w:type="dxa"/>
          <w:bottom w:w="0" w:type="dxa"/>
          <w:right w:w="108" w:type="dxa"/>
        </w:tblCellMar>
      </w:tblPr>
      <w:tblGrid>
        <w:gridCol w:w="811"/>
        <w:gridCol w:w="2878"/>
        <w:gridCol w:w="1350"/>
        <w:gridCol w:w="4731"/>
      </w:tblGrid>
      <w:tr>
        <w:tblPrEx>
          <w:tblLayout w:type="fixed"/>
          <w:tblCellMar>
            <w:top w:w="0" w:type="dxa"/>
            <w:left w:w="108" w:type="dxa"/>
            <w:bottom w:w="0" w:type="dxa"/>
            <w:right w:w="108" w:type="dxa"/>
          </w:tblCellMar>
        </w:tblPrEx>
        <w:trPr>
          <w:trHeight w:val="580" w:hRule="atLeast"/>
        </w:trPr>
        <w:tc>
          <w:tcPr>
            <w:tcW w:w="3689" w:type="dxa"/>
            <w:gridSpan w:val="2"/>
            <w:tcBorders>
              <w:top w:val="nil"/>
              <w:left w:val="nil"/>
              <w:bottom w:val="nil"/>
              <w:right w:val="nil"/>
            </w:tcBorders>
            <w:shd w:val="clear" w:color="auto" w:fill="auto"/>
            <w:vAlign w:val="center"/>
          </w:tcPr>
          <w:p>
            <w:pPr>
              <w:spacing w:line="380" w:lineRule="exact"/>
              <w:rPr>
                <w:rFonts w:ascii="等线" w:hAnsi="等线" w:eastAsia="等线" w:cs="等线"/>
                <w:color w:val="000000"/>
                <w:sz w:val="22"/>
                <w:szCs w:val="22"/>
              </w:rPr>
            </w:pPr>
            <w:r>
              <w:rPr>
                <w:rFonts w:hint="eastAsia" w:ascii="黑体" w:hAnsi="宋体" w:eastAsia="黑体" w:cs="黑体"/>
                <w:color w:val="000000"/>
                <w:kern w:val="0"/>
                <w:sz w:val="32"/>
                <w:szCs w:val="32"/>
                <w:lang w:bidi="ar"/>
              </w:rPr>
              <w:t>附件</w:t>
            </w:r>
            <w:r>
              <w:rPr>
                <w:rFonts w:ascii="黑体" w:hAnsi="宋体" w:eastAsia="黑体" w:cs="黑体"/>
                <w:color w:val="000000"/>
                <w:kern w:val="0"/>
                <w:sz w:val="32"/>
                <w:szCs w:val="32"/>
                <w:lang w:bidi="ar"/>
              </w:rPr>
              <w:t>2-1</w:t>
            </w:r>
          </w:p>
        </w:tc>
        <w:tc>
          <w:tcPr>
            <w:tcW w:w="1350" w:type="dxa"/>
            <w:tcBorders>
              <w:top w:val="nil"/>
              <w:left w:val="nil"/>
              <w:bottom w:val="nil"/>
              <w:right w:val="nil"/>
            </w:tcBorders>
            <w:shd w:val="clear" w:color="auto" w:fill="auto"/>
            <w:vAlign w:val="center"/>
          </w:tcPr>
          <w:p>
            <w:pPr>
              <w:spacing w:line="380" w:lineRule="exact"/>
              <w:jc w:val="center"/>
              <w:rPr>
                <w:rFonts w:ascii="等线" w:hAnsi="等线" w:eastAsia="等线" w:cs="等线"/>
                <w:color w:val="000000"/>
                <w:sz w:val="22"/>
                <w:szCs w:val="22"/>
              </w:rPr>
            </w:pPr>
          </w:p>
        </w:tc>
        <w:tc>
          <w:tcPr>
            <w:tcW w:w="4731" w:type="dxa"/>
            <w:tcBorders>
              <w:top w:val="nil"/>
              <w:left w:val="nil"/>
              <w:bottom w:val="nil"/>
              <w:right w:val="nil"/>
            </w:tcBorders>
            <w:shd w:val="clear" w:color="auto" w:fill="auto"/>
            <w:vAlign w:val="center"/>
          </w:tcPr>
          <w:p>
            <w:pPr>
              <w:spacing w:line="380" w:lineRule="exact"/>
              <w:rPr>
                <w:rFonts w:ascii="微软雅黑" w:hAnsi="微软雅黑" w:eastAsia="微软雅黑" w:cs="微软雅黑"/>
                <w:color w:val="000000"/>
                <w:sz w:val="22"/>
                <w:szCs w:val="22"/>
              </w:rPr>
            </w:pPr>
          </w:p>
        </w:tc>
      </w:tr>
      <w:tr>
        <w:tblPrEx>
          <w:tblLayout w:type="fixed"/>
          <w:tblCellMar>
            <w:top w:w="0" w:type="dxa"/>
            <w:left w:w="108" w:type="dxa"/>
            <w:bottom w:w="0" w:type="dxa"/>
            <w:right w:w="108" w:type="dxa"/>
          </w:tblCellMar>
        </w:tblPrEx>
        <w:trPr>
          <w:trHeight w:val="840" w:hRule="atLeast"/>
        </w:trPr>
        <w:tc>
          <w:tcPr>
            <w:tcW w:w="9770" w:type="dxa"/>
            <w:gridSpan w:val="4"/>
            <w:tcBorders>
              <w:top w:val="nil"/>
              <w:left w:val="nil"/>
              <w:bottom w:val="nil"/>
              <w:right w:val="nil"/>
            </w:tcBorders>
            <w:shd w:val="clear" w:color="auto" w:fill="auto"/>
            <w:vAlign w:val="center"/>
          </w:tcPr>
          <w:p>
            <w:pPr>
              <w:widowControl/>
              <w:spacing w:line="560" w:lineRule="exact"/>
              <w:jc w:val="center"/>
              <w:textAlignment w:val="center"/>
              <w:rPr>
                <w:rFonts w:ascii="方正小标宋简体" w:hAnsi="方正小标宋简体" w:eastAsia="方正小标宋简体" w:cs="方正小标宋简体"/>
                <w:color w:val="000000"/>
                <w:kern w:val="0"/>
                <w:sz w:val="40"/>
                <w:szCs w:val="40"/>
                <w:lang w:bidi="ar"/>
              </w:rPr>
            </w:pPr>
            <w:r>
              <w:rPr>
                <w:rFonts w:hint="eastAsia" w:ascii="方正小标宋简体" w:hAnsi="方正小标宋简体" w:eastAsia="方正小标宋简体" w:cs="方正小标宋简体"/>
                <w:color w:val="000000"/>
                <w:kern w:val="0"/>
                <w:sz w:val="40"/>
                <w:szCs w:val="40"/>
                <w:lang w:bidi="ar"/>
              </w:rPr>
              <w:t>202</w:t>
            </w:r>
            <w:r>
              <w:rPr>
                <w:rFonts w:ascii="方正小标宋简体" w:hAnsi="方正小标宋简体" w:eastAsia="方正小标宋简体" w:cs="方正小标宋简体"/>
                <w:color w:val="000000"/>
                <w:kern w:val="0"/>
                <w:sz w:val="40"/>
                <w:szCs w:val="40"/>
                <w:lang w:bidi="ar"/>
              </w:rPr>
              <w:t>4</w:t>
            </w:r>
            <w:r>
              <w:rPr>
                <w:rFonts w:hint="eastAsia" w:ascii="方正小标宋简体" w:hAnsi="方正小标宋简体" w:eastAsia="方正小标宋简体" w:cs="方正小标宋简体"/>
                <w:color w:val="000000"/>
                <w:kern w:val="0"/>
                <w:sz w:val="40"/>
                <w:szCs w:val="40"/>
                <w:lang w:bidi="ar"/>
              </w:rPr>
              <w:t>年北京市中小企业服务券配券产品</w:t>
            </w:r>
          </w:p>
          <w:p>
            <w:pPr>
              <w:widowControl/>
              <w:spacing w:line="560" w:lineRule="exact"/>
              <w:jc w:val="center"/>
              <w:textAlignment w:val="center"/>
              <w:rPr>
                <w:rFonts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kern w:val="0"/>
                <w:sz w:val="40"/>
                <w:szCs w:val="40"/>
                <w:lang w:bidi="ar"/>
              </w:rPr>
              <w:t>申请材料清单列表</w:t>
            </w:r>
          </w:p>
        </w:tc>
      </w:tr>
      <w:tr>
        <w:tblPrEx>
          <w:tblLayout w:type="fixed"/>
          <w:tblCellMar>
            <w:top w:w="0" w:type="dxa"/>
            <w:left w:w="108" w:type="dxa"/>
            <w:bottom w:w="0" w:type="dxa"/>
            <w:right w:w="108" w:type="dxa"/>
          </w:tblCellMar>
        </w:tblPrEx>
        <w:trPr>
          <w:trHeight w:val="64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lang w:bidi="ar"/>
              </w:rPr>
              <w:t>序号</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lang w:bidi="ar"/>
              </w:rPr>
              <w:t>表单项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lang w:bidi="ar"/>
              </w:rPr>
              <w:t>说明</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sz w:val="28"/>
                <w:szCs w:val="28"/>
              </w:rPr>
            </w:pPr>
            <w:r>
              <w:rPr>
                <w:rFonts w:hint="eastAsia" w:ascii="宋体" w:hAnsi="宋体" w:cs="宋体"/>
                <w:b/>
                <w:bCs/>
                <w:color w:val="000000"/>
                <w:kern w:val="0"/>
                <w:sz w:val="28"/>
                <w:szCs w:val="28"/>
                <w:lang w:bidi="ar"/>
              </w:rPr>
              <w:t>证明材料</w:t>
            </w:r>
          </w:p>
        </w:tc>
      </w:tr>
      <w:tr>
        <w:tblPrEx>
          <w:tblLayout w:type="fixed"/>
          <w:tblCellMar>
            <w:top w:w="0" w:type="dxa"/>
            <w:left w:w="108" w:type="dxa"/>
            <w:bottom w:w="0" w:type="dxa"/>
            <w:right w:w="108" w:type="dxa"/>
          </w:tblCellMar>
        </w:tblPrEx>
        <w:trPr>
          <w:trHeight w:val="64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一</w:t>
            </w:r>
          </w:p>
        </w:tc>
        <w:tc>
          <w:tcPr>
            <w:tcW w:w="89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服务商材料（所有材料</w:t>
            </w:r>
            <w:r>
              <w:rPr>
                <w:rFonts w:hint="eastAsia" w:ascii="宋体" w:hAnsi="宋体" w:cs="宋体"/>
                <w:b/>
                <w:bCs/>
                <w:color w:val="FF0000"/>
                <w:kern w:val="0"/>
                <w:sz w:val="28"/>
                <w:szCs w:val="28"/>
                <w:lang w:bidi="ar"/>
              </w:rPr>
              <w:t>加盖公章</w:t>
            </w:r>
            <w:r>
              <w:rPr>
                <w:rFonts w:hint="eastAsia" w:ascii="宋体" w:hAnsi="宋体" w:cs="宋体"/>
                <w:b/>
                <w:bCs/>
                <w:color w:val="000000"/>
                <w:kern w:val="0"/>
                <w:sz w:val="28"/>
                <w:szCs w:val="28"/>
                <w:lang w:bidi="ar"/>
              </w:rPr>
              <w:t>）</w:t>
            </w:r>
          </w:p>
        </w:tc>
      </w:tr>
      <w:tr>
        <w:tblPrEx>
          <w:tblLayout w:type="fixed"/>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1</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单位网址、应用APP名称、微信小程序名称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提供信息化系统相关备案或许可、截图等证明材料。</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营业执照</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提供机构营业执照、或者行业所需执业许可证。</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3</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运营所在地证明文件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提供经营场所的房屋产权证或房屋租赁合同复印件等材料。</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4</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sz w:val="28"/>
                <w:szCs w:val="28"/>
              </w:rPr>
              <w:t>近三年内未受到刑事及严重行政处罚，不存在失信行为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提供北京市经济和信息化局网站“信用中国（北京）”信用信息查询结果</w:t>
            </w:r>
            <w:r>
              <w:rPr>
                <w:rFonts w:hint="eastAsia" w:ascii="宋体" w:hAnsi="宋体" w:cs="宋体"/>
                <w:color w:val="FF0000"/>
                <w:kern w:val="0"/>
                <w:sz w:val="28"/>
                <w:szCs w:val="28"/>
                <w:lang w:bidi="ar"/>
              </w:rPr>
              <w:t>截图+导出文件+</w:t>
            </w:r>
            <w:r>
              <w:rPr>
                <w:rFonts w:ascii="宋体" w:hAnsi="宋体" w:cs="宋体"/>
                <w:color w:val="FF0000"/>
                <w:kern w:val="0"/>
                <w:sz w:val="28"/>
                <w:szCs w:val="28"/>
                <w:lang w:bidi="ar"/>
              </w:rPr>
              <w:t>全国法院失信被执行人名单信息公布与查询网站的查询截图</w:t>
            </w:r>
            <w:r>
              <w:rPr>
                <w:rFonts w:hint="eastAsia" w:ascii="宋体" w:hAnsi="宋体" w:cs="宋体"/>
                <w:color w:val="000000"/>
                <w:kern w:val="0"/>
                <w:sz w:val="28"/>
                <w:szCs w:val="28"/>
                <w:lang w:bidi="ar"/>
              </w:rPr>
              <w:t>，若无信用中国可用行业认可的信用证明文件代替。</w:t>
            </w:r>
          </w:p>
          <w:p>
            <w:pPr>
              <w:widowControl/>
              <w:spacing w:line="380" w:lineRule="exact"/>
              <w:jc w:val="left"/>
              <w:textAlignment w:val="center"/>
              <w:rPr>
                <w:rFonts w:ascii="宋体" w:hAnsi="宋体" w:cs="宋体"/>
                <w:color w:val="000000"/>
                <w:kern w:val="0"/>
                <w:sz w:val="28"/>
                <w:szCs w:val="28"/>
                <w:lang w:bidi="ar"/>
              </w:rPr>
            </w:pP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ascii="宋体" w:hAnsi="宋体" w:cs="宋体"/>
                <w:color w:val="000000"/>
                <w:sz w:val="28"/>
                <w:szCs w:val="28"/>
              </w:rPr>
              <w:t>5</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2022年度营业收入</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提供2022年度运营单位财务专审报告或审计报告。</w:t>
            </w:r>
          </w:p>
        </w:tc>
      </w:tr>
      <w:tr>
        <w:tblPrEx>
          <w:tblLayout w:type="fixed"/>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ascii="宋体" w:hAnsi="宋体" w:cs="宋体"/>
                <w:color w:val="000000"/>
                <w:kern w:val="0"/>
                <w:sz w:val="28"/>
                <w:szCs w:val="28"/>
                <w:lang w:bidi="ar"/>
              </w:rPr>
              <w:t>6</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2023年度营业收入</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提供2023年度运营单位财务财务专审报告或审计报告。</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7</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上年度签约北京企业的数量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已签订合同的企业名单。</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8</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上年度签约全国企业的数量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已签订合同的企业名单。</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9</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主持或参与制（修）订国际标准、国家标准或行业与行业领军或合作机构合作，自建或联合建立研究院</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sz w:val="28"/>
                <w:szCs w:val="28"/>
              </w:rPr>
              <w:t>根据企业实际情况填写</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提供相关文件或合同等证明材料。</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r>
              <w:rPr>
                <w:rFonts w:ascii="宋体" w:hAnsi="宋体" w:cs="宋体"/>
                <w:color w:val="000000"/>
                <w:kern w:val="0"/>
                <w:sz w:val="28"/>
                <w:szCs w:val="28"/>
                <w:lang w:bidi="ar"/>
              </w:rPr>
              <w:t>0</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具有行业影响力和较好的品牌性、服务声誉或上一年主导产品市场占有率位于行业前10位</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根据企业实际情况填写</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主流媒体或行业专业机构、政府机构发布的排名、特色称号等文件或截图等能体现品牌性、市场占有率等证明材料。</w:t>
            </w:r>
          </w:p>
        </w:tc>
      </w:tr>
      <w:tr>
        <w:tblPrEx>
          <w:tblLayout w:type="fixed"/>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二</w:t>
            </w:r>
          </w:p>
        </w:tc>
        <w:tc>
          <w:tcPr>
            <w:tcW w:w="89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申报产品材料（所有材料加盖公章）</w:t>
            </w:r>
          </w:p>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b/>
                <w:bCs/>
                <w:color w:val="000000"/>
                <w:kern w:val="0"/>
                <w:sz w:val="28"/>
                <w:szCs w:val="28"/>
                <w:lang w:bidi="ar"/>
              </w:rPr>
              <w:t>（</w:t>
            </w:r>
            <w:r>
              <w:rPr>
                <w:rFonts w:hint="eastAsia" w:ascii="宋体" w:hAnsi="宋体" w:cs="宋体"/>
                <w:b/>
                <w:bCs/>
                <w:color w:val="FF0000"/>
                <w:kern w:val="0"/>
                <w:sz w:val="28"/>
                <w:szCs w:val="28"/>
                <w:lang w:bidi="ar"/>
              </w:rPr>
              <w:t>如报多个服务产品，需按产品分别准备</w:t>
            </w:r>
            <w:r>
              <w:rPr>
                <w:rFonts w:hint="eastAsia" w:ascii="宋体" w:hAnsi="宋体" w:cs="宋体"/>
                <w:b/>
                <w:bCs/>
                <w:color w:val="000000"/>
                <w:kern w:val="0"/>
                <w:sz w:val="28"/>
                <w:szCs w:val="28"/>
                <w:lang w:bidi="ar"/>
              </w:rPr>
              <w:t>）</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1</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该产品折扣证明文件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1、3份近3个月内的签署的合同（如无3个月内，提供半年内的）</w:t>
            </w:r>
          </w:p>
          <w:p>
            <w:pPr>
              <w:widowControl/>
              <w:numPr>
                <w:ilvl w:val="0"/>
                <w:numId w:val="2"/>
              </w:numPr>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产品报价表（含产品名称+市场价+折扣后已签约价） 如无报价单需提供可证明价格的系统截图或者其他支撑文件</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2</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2022年度该产品在北京地区营业收入（万元）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佐证材料，如专审或者测算说明。</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3</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2023年度该服务产品在北京地区营业收入（万元）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佐证材料，如专审或者测算说明。</w:t>
            </w: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4</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上年度该产品在北京地区签约企业家数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必上传</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p>
        </w:tc>
      </w:tr>
      <w:tr>
        <w:tblPrEx>
          <w:tblLayout w:type="fixed"/>
          <w:tblCellMar>
            <w:top w:w="0" w:type="dxa"/>
            <w:left w:w="108" w:type="dxa"/>
            <w:bottom w:w="0" w:type="dxa"/>
            <w:right w:w="108" w:type="dxa"/>
          </w:tblCellMar>
        </w:tblPrEx>
        <w:trPr>
          <w:trHeight w:val="80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5</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该产品服务北京地区的专精特新、小巨人、隐形冠军或科创板、创业板、主板上市的高成长型创新企业数量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kern w:val="0"/>
                <w:sz w:val="28"/>
                <w:szCs w:val="28"/>
                <w:lang w:bidi="ar"/>
              </w:rPr>
            </w:pPr>
            <w:r>
              <w:rPr>
                <w:rFonts w:hint="eastAsia" w:ascii="宋体" w:hAnsi="宋体" w:cs="宋体"/>
                <w:color w:val="000000"/>
                <w:sz w:val="28"/>
                <w:szCs w:val="28"/>
              </w:rPr>
              <w:t>根据企业实际情况填写</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内容包含服务过的企业名单，并备注相应的资质（专精特新、小巨人、隐形冠军或科创板、创业板、主板上市）。</w:t>
            </w:r>
          </w:p>
        </w:tc>
      </w:tr>
      <w:tr>
        <w:tblPrEx>
          <w:tblLayout w:type="fixed"/>
          <w:tblCellMar>
            <w:top w:w="0" w:type="dxa"/>
            <w:left w:w="108" w:type="dxa"/>
            <w:bottom w:w="0" w:type="dxa"/>
            <w:right w:w="108" w:type="dxa"/>
          </w:tblCellMar>
        </w:tblPrEx>
        <w:trPr>
          <w:trHeight w:val="472"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6</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该产品知识产权证明文件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根据企业实际情况填写</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sz w:val="28"/>
                <w:szCs w:val="28"/>
              </w:rPr>
            </w:pPr>
            <w:r>
              <w:rPr>
                <w:rFonts w:hint="eastAsia" w:ascii="宋体" w:hAnsi="宋体" w:cs="宋体"/>
                <w:color w:val="000000"/>
                <w:kern w:val="0"/>
                <w:sz w:val="28"/>
                <w:szCs w:val="28"/>
                <w:lang w:bidi="ar"/>
              </w:rPr>
              <w:t>申请服务券产品时需提供该产品的软著或专利等证明材料。</w:t>
            </w:r>
          </w:p>
        </w:tc>
      </w:tr>
      <w:tr>
        <w:tblPrEx>
          <w:tblLayout w:type="fixed"/>
          <w:tblCellMar>
            <w:top w:w="0" w:type="dxa"/>
            <w:left w:w="108" w:type="dxa"/>
            <w:bottom w:w="0" w:type="dxa"/>
            <w:right w:w="108" w:type="dxa"/>
          </w:tblCellMar>
        </w:tblPrEx>
        <w:trPr>
          <w:trHeight w:val="104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7</w:t>
            </w:r>
          </w:p>
        </w:tc>
        <w:tc>
          <w:tcPr>
            <w:tcW w:w="28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textAlignment w:val="center"/>
              <w:rPr>
                <w:rFonts w:ascii="宋体" w:hAnsi="宋体" w:cs="宋体"/>
                <w:color w:val="000000"/>
                <w:sz w:val="28"/>
                <w:szCs w:val="28"/>
              </w:rPr>
            </w:pPr>
            <w:r>
              <w:rPr>
                <w:rFonts w:hint="eastAsia" w:ascii="宋体" w:hAnsi="宋体" w:cs="宋体"/>
                <w:color w:val="000000"/>
                <w:kern w:val="0"/>
                <w:sz w:val="28"/>
                <w:szCs w:val="28"/>
                <w:lang w:bidi="ar"/>
              </w:rPr>
              <w:t>申请机构运营地在北京，主体机构注册不在北京地区（如分公司），但该产品在北京地区服务企业超过150家的企业</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center"/>
              <w:textAlignment w:val="center"/>
              <w:rPr>
                <w:rFonts w:ascii="宋体" w:hAnsi="宋体" w:cs="宋体"/>
                <w:color w:val="000000"/>
                <w:sz w:val="28"/>
                <w:szCs w:val="28"/>
              </w:rPr>
            </w:pPr>
            <w:r>
              <w:rPr>
                <w:rFonts w:hint="eastAsia" w:ascii="宋体" w:hAnsi="宋体" w:cs="宋体"/>
                <w:color w:val="000000"/>
                <w:sz w:val="28"/>
                <w:szCs w:val="28"/>
              </w:rPr>
              <w:t>根据企业实际情况填写</w:t>
            </w:r>
          </w:p>
        </w:tc>
        <w:tc>
          <w:tcPr>
            <w:tcW w:w="4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80" w:lineRule="exact"/>
              <w:jc w:val="left"/>
              <w:textAlignment w:val="center"/>
              <w:rPr>
                <w:rFonts w:ascii="宋体" w:hAnsi="宋体" w:cs="宋体"/>
                <w:color w:val="000000"/>
                <w:sz w:val="28"/>
                <w:szCs w:val="28"/>
              </w:rPr>
            </w:pPr>
            <w:r>
              <w:rPr>
                <w:rFonts w:hint="eastAsia" w:ascii="宋体" w:hAnsi="宋体" w:cs="宋体"/>
                <w:color w:val="000000"/>
                <w:sz w:val="28"/>
                <w:szCs w:val="28"/>
              </w:rPr>
              <w:t>提供列表及相关文件或合同等证明材料。</w:t>
            </w:r>
          </w:p>
        </w:tc>
      </w:tr>
    </w:tbl>
    <w:p>
      <w:pPr>
        <w:textAlignment w:val="baseline"/>
        <w:rPr>
          <w:b/>
          <w:bCs/>
        </w:rPr>
        <w:sectPr>
          <w:pgSz w:w="11906" w:h="16838"/>
          <w:pgMar w:top="1440" w:right="1800" w:bottom="1440" w:left="1800" w:header="851" w:footer="992" w:gutter="0"/>
          <w:cols w:space="425" w:num="1"/>
          <w:docGrid w:type="lines" w:linePitch="312" w:charSpace="0"/>
        </w:sectPr>
      </w:pPr>
    </w:p>
    <w:p>
      <w:pPr>
        <w:spacing w:before="120" w:line="440" w:lineRule="exact"/>
        <w:rPr>
          <w:rFonts w:ascii="黑体" w:hAnsi="黑体" w:eastAsia="黑体"/>
          <w:bCs/>
          <w:sz w:val="32"/>
          <w:szCs w:val="32"/>
        </w:rPr>
      </w:pPr>
      <w:r>
        <w:rPr>
          <w:rFonts w:hint="eastAsia" w:ascii="黑体" w:hAnsi="黑体" w:eastAsia="黑体"/>
          <w:bCs/>
          <w:sz w:val="32"/>
          <w:szCs w:val="32"/>
        </w:rPr>
        <w:t>附件2-2</w:t>
      </w:r>
    </w:p>
    <w:p>
      <w:pPr>
        <w:spacing w:before="120" w:line="440" w:lineRule="exact"/>
        <w:jc w:val="center"/>
        <w:rPr>
          <w:b/>
          <w:bCs/>
          <w:sz w:val="52"/>
          <w:szCs w:val="52"/>
        </w:rPr>
      </w:pPr>
    </w:p>
    <w:p>
      <w:pPr>
        <w:spacing w:before="120" w:line="440" w:lineRule="exact"/>
        <w:jc w:val="center"/>
        <w:rPr>
          <w:b/>
          <w:bCs/>
          <w:sz w:val="52"/>
          <w:szCs w:val="52"/>
        </w:rPr>
      </w:pPr>
      <w:r>
        <w:rPr>
          <w:rFonts w:hint="eastAsia"/>
          <w:b/>
          <w:bCs/>
          <w:sz w:val="52"/>
          <w:szCs w:val="52"/>
        </w:rPr>
        <w:t>服务券配券</w:t>
      </w:r>
      <w:r>
        <w:rPr>
          <w:b/>
          <w:bCs/>
          <w:sz w:val="52"/>
          <w:szCs w:val="52"/>
        </w:rPr>
        <w:t>产品申请</w:t>
      </w:r>
    </w:p>
    <w:p>
      <w:pPr>
        <w:spacing w:before="120" w:line="440" w:lineRule="exact"/>
        <w:jc w:val="center"/>
        <w:rPr>
          <w:b/>
          <w:bCs/>
          <w:sz w:val="52"/>
          <w:szCs w:val="52"/>
        </w:rPr>
      </w:pPr>
      <w:r>
        <w:rPr>
          <w:rFonts w:hint="eastAsia"/>
          <w:b/>
          <w:bCs/>
          <w:sz w:val="52"/>
          <w:szCs w:val="52"/>
        </w:rPr>
        <w:t>操作指南（企业用户）</w:t>
      </w:r>
    </w:p>
    <w:p>
      <w:pPr>
        <w:spacing w:before="120" w:line="440" w:lineRule="exact"/>
        <w:ind w:firstLine="1044" w:firstLineChars="200"/>
        <w:jc w:val="center"/>
        <w:rPr>
          <w:b/>
          <w:bCs/>
          <w:sz w:val="52"/>
          <w:szCs w:val="52"/>
        </w:rPr>
      </w:pPr>
    </w:p>
    <w:p>
      <w:pPr>
        <w:rPr>
          <w:b/>
          <w:bCs/>
        </w:rPr>
      </w:pPr>
    </w:p>
    <w:p>
      <w:pPr>
        <w:pStyle w:val="3"/>
        <w:numPr>
          <w:ilvl w:val="0"/>
          <w:numId w:val="3"/>
        </w:numPr>
        <w:spacing w:line="440" w:lineRule="exact"/>
        <w:rPr>
          <w:sz w:val="24"/>
        </w:rPr>
      </w:pPr>
      <w:r>
        <w:rPr>
          <w:rFonts w:hint="eastAsia" w:ascii="宋体" w:hAnsi="宋体" w:eastAsia="宋体" w:cs="宋体"/>
          <w:sz w:val="30"/>
          <w:szCs w:val="30"/>
        </w:rPr>
        <w:t>登录（企业账号）</w:t>
      </w:r>
    </w:p>
    <w:p>
      <w:pPr>
        <w:spacing w:line="440" w:lineRule="exact"/>
        <w:ind w:firstLine="480" w:firstLineChars="200"/>
        <w:rPr>
          <w:sz w:val="24"/>
        </w:rPr>
      </w:pPr>
      <w:r>
        <w:rPr>
          <w:rFonts w:hint="eastAsia"/>
          <w:sz w:val="24"/>
        </w:rPr>
        <w:t>在网站首页（北京市中小企业公共服务平台  https://www.smebj.cn/）中的“一体化申报平台 北京市中小企业惠企政策‘一件事’”板块，点击【进入专区】，可跳转到一体化申报专区首页。如下图所示：</w:t>
      </w:r>
    </w:p>
    <w:p>
      <w:pPr>
        <w:rPr>
          <w:sz w:val="24"/>
        </w:rPr>
      </w:pPr>
      <w:r>
        <w:drawing>
          <wp:inline distT="0" distB="0" distL="114300" distR="114300">
            <wp:extent cx="5265420" cy="3306445"/>
            <wp:effectExtent l="0" t="0" r="1143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5420" cy="330644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用户从一体化专区首页，点击右上方“法人一证通登录”链接。如下图所示：</w:t>
      </w:r>
    </w:p>
    <w:p>
      <w:pPr>
        <w:spacing w:line="360" w:lineRule="auto"/>
        <w:rPr>
          <w:b/>
          <w:sz w:val="28"/>
          <w:szCs w:val="28"/>
        </w:rPr>
      </w:pPr>
      <w:r>
        <w:drawing>
          <wp:inline distT="0" distB="0" distL="114300" distR="114300">
            <wp:extent cx="5273040" cy="2453005"/>
            <wp:effectExtent l="0" t="0" r="381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3040" cy="2453005"/>
                    </a:xfrm>
                    <a:prstGeom prst="rect">
                      <a:avLst/>
                    </a:prstGeom>
                    <a:noFill/>
                    <a:ln>
                      <a:noFill/>
                    </a:ln>
                  </pic:spPr>
                </pic:pic>
              </a:graphicData>
            </a:graphic>
          </wp:inline>
        </w:drawing>
      </w:r>
    </w:p>
    <w:p>
      <w:pPr>
        <w:spacing w:line="440" w:lineRule="exact"/>
        <w:ind w:firstLine="480" w:firstLineChars="200"/>
        <w:rPr>
          <w:sz w:val="24"/>
        </w:rPr>
      </w:pPr>
      <w:r>
        <w:rPr>
          <w:rFonts w:hint="eastAsia"/>
          <w:sz w:val="24"/>
        </w:rPr>
        <w:t>进入北京市统一身份认证平台（一证通）认证页面提供登录和注册两个按钮。点击登录按钮，提供多种登录方式。如选择口令登录，需填写用户名、密码和验证码后点击“登录”即可。如下图所示：</w:t>
      </w:r>
    </w:p>
    <w:p>
      <w:r>
        <w:drawing>
          <wp:inline distT="0" distB="0" distL="114300" distR="114300">
            <wp:extent cx="5269865" cy="2465070"/>
            <wp:effectExtent l="0" t="0" r="698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0"/>
                    <a:stretch>
                      <a:fillRect/>
                    </a:stretch>
                  </pic:blipFill>
                  <pic:spPr>
                    <a:xfrm>
                      <a:off x="0" y="0"/>
                      <a:ext cx="5269865" cy="246507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登录成功后，页面自动跳转回网站首页，并在左上方显示用户的企业名称。如下图所示：</w:t>
      </w:r>
    </w:p>
    <w:p>
      <w:pPr>
        <w:spacing w:line="360" w:lineRule="auto"/>
      </w:pPr>
      <w:r>
        <w:drawing>
          <wp:inline distT="0" distB="0" distL="114300" distR="114300">
            <wp:extent cx="5267325" cy="2161540"/>
            <wp:effectExtent l="0" t="0" r="9525" b="1016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1"/>
                    <a:stretch>
                      <a:fillRect/>
                    </a:stretch>
                  </pic:blipFill>
                  <pic:spPr>
                    <a:xfrm>
                      <a:off x="0" y="0"/>
                      <a:ext cx="5267325" cy="2161540"/>
                    </a:xfrm>
                    <a:prstGeom prst="rect">
                      <a:avLst/>
                    </a:prstGeom>
                    <a:noFill/>
                    <a:ln>
                      <a:noFill/>
                    </a:ln>
                  </pic:spPr>
                </pic:pic>
              </a:graphicData>
            </a:graphic>
          </wp:inline>
        </w:drawing>
      </w:r>
    </w:p>
    <w:p>
      <w:pPr>
        <w:pStyle w:val="3"/>
        <w:numPr>
          <w:ilvl w:val="0"/>
          <w:numId w:val="3"/>
        </w:numPr>
        <w:spacing w:line="440" w:lineRule="exact"/>
        <w:rPr>
          <w:rFonts w:ascii="宋体" w:hAnsi="宋体" w:eastAsia="宋体" w:cs="宋体"/>
          <w:sz w:val="30"/>
          <w:szCs w:val="30"/>
        </w:rPr>
      </w:pPr>
      <w:r>
        <w:rPr>
          <w:rFonts w:hint="eastAsia" w:ascii="宋体" w:hAnsi="宋体" w:eastAsia="宋体" w:cs="宋体"/>
          <w:sz w:val="30"/>
          <w:szCs w:val="30"/>
        </w:rPr>
        <w:t>企业填报</w:t>
      </w:r>
    </w:p>
    <w:p>
      <w:pPr>
        <w:spacing w:line="440" w:lineRule="exact"/>
        <w:ind w:firstLine="480" w:firstLineChars="200"/>
        <w:rPr>
          <w:sz w:val="24"/>
        </w:rPr>
      </w:pPr>
      <w:r>
        <w:rPr>
          <w:rFonts w:hint="eastAsia"/>
          <w:sz w:val="24"/>
        </w:rPr>
        <w:t>在网站首页中的政策服务板块，点击【进入专区】，可跳转到一体化申报专区首页。如下图所示：</w:t>
      </w:r>
    </w:p>
    <w:p>
      <w:r>
        <w:drawing>
          <wp:inline distT="0" distB="0" distL="114300" distR="114300">
            <wp:extent cx="5267325" cy="1308100"/>
            <wp:effectExtent l="0" t="0" r="952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rcRect t="26402"/>
                    <a:stretch>
                      <a:fillRect/>
                    </a:stretch>
                  </pic:blipFill>
                  <pic:spPr>
                    <a:xfrm>
                      <a:off x="0" y="0"/>
                      <a:ext cx="5267325" cy="1308100"/>
                    </a:xfrm>
                    <a:prstGeom prst="rect">
                      <a:avLst/>
                    </a:prstGeom>
                    <a:noFill/>
                    <a:ln>
                      <a:noFill/>
                    </a:ln>
                  </pic:spPr>
                </pic:pic>
              </a:graphicData>
            </a:graphic>
          </wp:inline>
        </w:drawing>
      </w:r>
    </w:p>
    <w:p>
      <w:pPr>
        <w:numPr>
          <w:ilvl w:val="0"/>
          <w:numId w:val="4"/>
        </w:numPr>
        <w:spacing w:line="360" w:lineRule="auto"/>
        <w:ind w:left="0" w:firstLine="480" w:firstLineChars="200"/>
        <w:rPr>
          <w:sz w:val="24"/>
        </w:rPr>
      </w:pPr>
      <w:r>
        <w:rPr>
          <w:rFonts w:hint="eastAsia"/>
          <w:sz w:val="24"/>
        </w:rPr>
        <w:t>在一体化申报专区首页中部，展示了申报中的项目和【立即申报】按钮。如下图所示：</w:t>
      </w:r>
    </w:p>
    <w:p/>
    <w:p>
      <w:pPr>
        <w:ind w:firstLine="421" w:firstLineChars="200"/>
        <w:rPr>
          <w:b/>
          <w:bCs/>
          <w:color w:val="FF0000"/>
        </w:rPr>
      </w:pPr>
      <w:r>
        <w:rPr>
          <w:rFonts w:hint="eastAsia"/>
          <w:b/>
          <w:bCs/>
          <w:color w:val="FF0000"/>
        </w:rPr>
        <w:drawing>
          <wp:inline distT="0" distB="0" distL="114300" distR="114300">
            <wp:extent cx="5213350" cy="1689100"/>
            <wp:effectExtent l="0" t="0" r="6350" b="6350"/>
            <wp:docPr id="7" name="图片 7" descr="c0eef694aeca6c7d2a2d4c609ce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eef694aeca6c7d2a2d4c609ceff47"/>
                    <pic:cNvPicPr>
                      <a:picLocks noChangeAspect="1"/>
                    </pic:cNvPicPr>
                  </pic:nvPicPr>
                  <pic:blipFill>
                    <a:blip r:embed="rId13"/>
                    <a:stretch>
                      <a:fillRect/>
                    </a:stretch>
                  </pic:blipFill>
                  <pic:spPr>
                    <a:xfrm>
                      <a:off x="0" y="0"/>
                      <a:ext cx="5213350" cy="1689100"/>
                    </a:xfrm>
                    <a:prstGeom prst="rect">
                      <a:avLst/>
                    </a:prstGeom>
                  </pic:spPr>
                </pic:pic>
              </a:graphicData>
            </a:graphic>
          </wp:inline>
        </w:drawing>
      </w:r>
    </w:p>
    <w:p>
      <w:pPr>
        <w:numPr>
          <w:ilvl w:val="0"/>
          <w:numId w:val="5"/>
        </w:numPr>
        <w:rPr>
          <w:b/>
          <w:bCs/>
          <w:color w:val="FF0000"/>
        </w:rPr>
      </w:pPr>
      <w:r>
        <w:rPr>
          <w:rFonts w:hint="eastAsia"/>
          <w:b/>
          <w:bCs/>
          <w:color w:val="FF0000"/>
        </w:rPr>
        <w:t>找到《</w:t>
      </w:r>
      <w:r>
        <w:rPr>
          <w:b/>
          <w:bCs/>
          <w:color w:val="FF0000"/>
        </w:rPr>
        <w:t>关于征集202</w:t>
      </w:r>
      <w:r>
        <w:rPr>
          <w:rFonts w:hint="eastAsia"/>
          <w:b/>
          <w:bCs/>
          <w:color w:val="FF0000"/>
        </w:rPr>
        <w:t>4</w:t>
      </w:r>
      <w:r>
        <w:rPr>
          <w:b/>
          <w:bCs/>
          <w:color w:val="FF0000"/>
        </w:rPr>
        <w:t>年度中小企业服务券配券产品的通知</w:t>
      </w:r>
      <w:r>
        <w:rPr>
          <w:rFonts w:hint="eastAsia"/>
          <w:b/>
          <w:bCs/>
          <w:color w:val="FF0000"/>
        </w:rPr>
        <w:t>》，点击</w:t>
      </w:r>
      <w:r>
        <w:rPr>
          <w:rFonts w:hint="eastAsia"/>
          <w:b/>
          <w:bCs/>
          <w:color w:val="FF0000"/>
          <w:sz w:val="24"/>
        </w:rPr>
        <w:t>【立即申报】按钮，开始填报</w:t>
      </w:r>
    </w:p>
    <w:p>
      <w:pPr>
        <w:rPr>
          <w:b/>
          <w:bCs/>
          <w:color w:val="FF0000"/>
        </w:rPr>
      </w:pPr>
    </w:p>
    <w:p>
      <w:pPr>
        <w:numPr>
          <w:ilvl w:val="0"/>
          <w:numId w:val="4"/>
        </w:numPr>
        <w:spacing w:line="360" w:lineRule="auto"/>
        <w:ind w:left="0" w:firstLine="480" w:firstLineChars="200"/>
        <w:rPr>
          <w:sz w:val="24"/>
        </w:rPr>
      </w:pPr>
      <w:r>
        <w:rPr>
          <w:rFonts w:hint="eastAsia"/>
          <w:sz w:val="24"/>
        </w:rPr>
        <w:t>在申请表页面填写正确信息后，点击【临时保存】提示保存成功，不会校验必填或填写内容的合规性；点击【保存】提示保存成功并会进行全页保存和全量校验；点击【返回】跳转到上一页。如下图所示：</w:t>
      </w:r>
    </w:p>
    <w:p>
      <w:r>
        <w:rPr>
          <w:rFonts w:hint="eastAsia"/>
        </w:rPr>
        <w:drawing>
          <wp:inline distT="0" distB="0" distL="114300" distR="114300">
            <wp:extent cx="5134610" cy="2651125"/>
            <wp:effectExtent l="0" t="0" r="8890" b="15875"/>
            <wp:docPr id="4" name="图片 4" descr="29d9ccbfc000d379598eefde9d3d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d9ccbfc000d379598eefde9d3db94"/>
                    <pic:cNvPicPr>
                      <a:picLocks noChangeAspect="1"/>
                    </pic:cNvPicPr>
                  </pic:nvPicPr>
                  <pic:blipFill>
                    <a:blip r:embed="rId14"/>
                    <a:srcRect l="2543" t="10215"/>
                    <a:stretch>
                      <a:fillRect/>
                    </a:stretch>
                  </pic:blipFill>
                  <pic:spPr>
                    <a:xfrm>
                      <a:off x="0" y="0"/>
                      <a:ext cx="5134610" cy="2651125"/>
                    </a:xfrm>
                    <a:prstGeom prst="rect">
                      <a:avLst/>
                    </a:prstGeom>
                  </pic:spPr>
                </pic:pic>
              </a:graphicData>
            </a:graphic>
          </wp:inline>
        </w:drawing>
      </w:r>
    </w:p>
    <w:p/>
    <w:p/>
    <w:p>
      <w:pPr>
        <w:numPr>
          <w:ilvl w:val="0"/>
          <w:numId w:val="4"/>
        </w:numPr>
        <w:spacing w:line="360" w:lineRule="auto"/>
        <w:ind w:left="0" w:firstLine="480" w:firstLineChars="200"/>
        <w:rPr>
          <w:sz w:val="24"/>
        </w:rPr>
      </w:pPr>
      <w:r>
        <w:rPr>
          <w:rFonts w:hint="eastAsia"/>
          <w:sz w:val="24"/>
        </w:rPr>
        <w:t>点击【附件信息】上传附件后点击【提交】按钮在校验通过后将表单提交给北京市中小企业公共服务平台工作人员进行审核</w:t>
      </w:r>
    </w:p>
    <w:p>
      <w:r>
        <w:rPr>
          <w:rFonts w:hint="eastAsia"/>
        </w:rPr>
        <w:drawing>
          <wp:inline distT="0" distB="0" distL="114300" distR="114300">
            <wp:extent cx="5271770" cy="3738245"/>
            <wp:effectExtent l="0" t="0" r="5080" b="14605"/>
            <wp:docPr id="6" name="图片 6" descr="5294ad5469906c30246fe4edc562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294ad5469906c30246fe4edc562c3a"/>
                    <pic:cNvPicPr>
                      <a:picLocks noChangeAspect="1"/>
                    </pic:cNvPicPr>
                  </pic:nvPicPr>
                  <pic:blipFill>
                    <a:blip r:embed="rId15"/>
                    <a:stretch>
                      <a:fillRect/>
                    </a:stretch>
                  </pic:blipFill>
                  <pic:spPr>
                    <a:xfrm>
                      <a:off x="0" y="0"/>
                      <a:ext cx="5271770" cy="3738245"/>
                    </a:xfrm>
                    <a:prstGeom prst="rect">
                      <a:avLst/>
                    </a:prstGeom>
                  </pic:spPr>
                </pic:pic>
              </a:graphicData>
            </a:graphic>
          </wp:inline>
        </w:drawing>
      </w:r>
    </w:p>
    <w:p>
      <w:pPr>
        <w:pStyle w:val="4"/>
        <w:numPr>
          <w:ilvl w:val="1"/>
          <w:numId w:val="3"/>
        </w:numPr>
        <w:spacing w:line="440" w:lineRule="exact"/>
        <w:rPr>
          <w:sz w:val="28"/>
          <w:szCs w:val="28"/>
        </w:rPr>
      </w:pPr>
      <w:r>
        <w:rPr>
          <w:rFonts w:hint="eastAsia"/>
          <w:sz w:val="28"/>
          <w:szCs w:val="28"/>
        </w:rPr>
        <w:t>我的申报</w:t>
      </w:r>
    </w:p>
    <w:p>
      <w:pPr>
        <w:spacing w:line="440" w:lineRule="exact"/>
        <w:ind w:firstLine="480" w:firstLineChars="200"/>
        <w:rPr>
          <w:sz w:val="24"/>
        </w:rPr>
      </w:pPr>
      <w:r>
        <w:rPr>
          <w:rFonts w:hint="eastAsia"/>
          <w:sz w:val="24"/>
        </w:rPr>
        <w:t>在一体化申报专区首页顶端中部右侧，点击“我的申报”，可跳转到我的申报页面。如下图所示：</w:t>
      </w:r>
    </w:p>
    <w:p>
      <w:r>
        <w:drawing>
          <wp:inline distT="0" distB="0" distL="114300" distR="114300">
            <wp:extent cx="5266055" cy="1337310"/>
            <wp:effectExtent l="0" t="0" r="10795"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rcRect b="32043"/>
                    <a:stretch>
                      <a:fillRect/>
                    </a:stretch>
                  </pic:blipFill>
                  <pic:spPr>
                    <a:xfrm>
                      <a:off x="0" y="0"/>
                      <a:ext cx="5266055" cy="1337734"/>
                    </a:xfrm>
                    <a:prstGeom prst="rect">
                      <a:avLst/>
                    </a:prstGeom>
                    <a:noFill/>
                    <a:ln>
                      <a:noFill/>
                    </a:ln>
                  </pic:spPr>
                </pic:pic>
              </a:graphicData>
            </a:graphic>
          </wp:inline>
        </w:drawing>
      </w:r>
    </w:p>
    <w:p>
      <w:pPr>
        <w:spacing w:line="440" w:lineRule="exact"/>
        <w:ind w:firstLine="480" w:firstLineChars="200"/>
        <w:rPr>
          <w:sz w:val="24"/>
        </w:rPr>
      </w:pPr>
      <w:r>
        <w:rPr>
          <w:rFonts w:hint="eastAsia"/>
          <w:sz w:val="24"/>
        </w:rPr>
        <w:t>我的申报页展示“全部、待提交、待审核、已通过、退回修改、审核不通过”的申报项目。已提交的申报，显示上次提交时间及审核状态；若已提交过申请，状态为“待提交、待审核、退回修改”，可以在右侧点击【查看详情】进行查看或重新提交。如下图所示：</w:t>
      </w:r>
    </w:p>
    <w:p>
      <w:r>
        <w:rPr>
          <w:rFonts w:hint="eastAsia"/>
        </w:rPr>
        <w:drawing>
          <wp:inline distT="0" distB="0" distL="114300" distR="114300">
            <wp:extent cx="5273675" cy="3549015"/>
            <wp:effectExtent l="0" t="0" r="3175" b="13335"/>
            <wp:docPr id="8" name="图片 8" descr="ed8d7bb604b85f9137ffdfd0ef3d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8d7bb604b85f9137ffdfd0ef3d6fc"/>
                    <pic:cNvPicPr>
                      <a:picLocks noChangeAspect="1"/>
                    </pic:cNvPicPr>
                  </pic:nvPicPr>
                  <pic:blipFill>
                    <a:blip r:embed="rId17"/>
                    <a:stretch>
                      <a:fillRect/>
                    </a:stretch>
                  </pic:blipFill>
                  <pic:spPr>
                    <a:xfrm>
                      <a:off x="0" y="0"/>
                      <a:ext cx="5273675" cy="3549015"/>
                    </a:xfrm>
                    <a:prstGeom prst="rect">
                      <a:avLst/>
                    </a:prstGeom>
                  </pic:spPr>
                </pic:pic>
              </a:graphicData>
            </a:graphic>
          </wp:inline>
        </w:drawing>
      </w:r>
    </w:p>
    <w:p>
      <w:pPr>
        <w:pStyle w:val="4"/>
        <w:numPr>
          <w:ilvl w:val="1"/>
          <w:numId w:val="3"/>
        </w:numPr>
        <w:spacing w:line="440" w:lineRule="exact"/>
        <w:rPr>
          <w:sz w:val="28"/>
          <w:szCs w:val="28"/>
        </w:rPr>
      </w:pPr>
      <w:r>
        <w:rPr>
          <w:rFonts w:hint="eastAsia"/>
          <w:sz w:val="28"/>
          <w:szCs w:val="28"/>
        </w:rPr>
        <w:t>附件管理</w:t>
      </w:r>
    </w:p>
    <w:p>
      <w:pPr>
        <w:spacing w:line="440" w:lineRule="exact"/>
        <w:ind w:firstLine="480" w:firstLineChars="200"/>
        <w:rPr>
          <w:sz w:val="24"/>
        </w:rPr>
      </w:pPr>
      <w:r>
        <w:rPr>
          <w:rFonts w:hint="eastAsia"/>
          <w:sz w:val="24"/>
        </w:rPr>
        <w:t>用户点击【附件管理】，可以查看已上传的全部附件。在搜索框中输入文件名称，筛选出匹配的附件，点击“附件名称”，可以查看附件或下载到本地。</w:t>
      </w:r>
    </w:p>
    <w:p/>
    <w:p>
      <w:pPr>
        <w:pStyle w:val="4"/>
        <w:numPr>
          <w:ilvl w:val="1"/>
          <w:numId w:val="3"/>
        </w:numPr>
        <w:spacing w:line="440" w:lineRule="exact"/>
        <w:rPr>
          <w:sz w:val="28"/>
          <w:szCs w:val="28"/>
        </w:rPr>
      </w:pPr>
      <w:r>
        <w:rPr>
          <w:rFonts w:hint="eastAsia"/>
          <w:sz w:val="28"/>
          <w:szCs w:val="28"/>
        </w:rPr>
        <w:t>企业信息</w:t>
      </w:r>
    </w:p>
    <w:p>
      <w:pPr>
        <w:spacing w:line="440" w:lineRule="exact"/>
        <w:ind w:firstLine="480" w:firstLineChars="200"/>
        <w:rPr>
          <w:sz w:val="24"/>
        </w:rPr>
      </w:pPr>
      <w:r>
        <w:rPr>
          <w:rFonts w:hint="eastAsia"/>
          <w:sz w:val="24"/>
        </w:rPr>
        <w:t>用户点击【企业信息】，可以查看当前登录账号的企业信息，在企业信息页面可以修改企业详情，修改完成后点击【提交】即可。如下图所示：</w:t>
      </w:r>
    </w:p>
    <w:p>
      <w:r>
        <w:drawing>
          <wp:inline distT="0" distB="0" distL="114300" distR="114300">
            <wp:extent cx="5268595" cy="1410970"/>
            <wp:effectExtent l="0" t="0" r="8255"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8"/>
                    <a:stretch>
                      <a:fillRect/>
                    </a:stretch>
                  </pic:blipFill>
                  <pic:spPr>
                    <a:xfrm>
                      <a:off x="0" y="0"/>
                      <a:ext cx="5268595" cy="1410970"/>
                    </a:xfrm>
                    <a:prstGeom prst="rect">
                      <a:avLst/>
                    </a:prstGeom>
                    <a:noFill/>
                    <a:ln>
                      <a:noFill/>
                    </a:ln>
                  </pic:spPr>
                </pic:pic>
              </a:graphicData>
            </a:graphic>
          </wp:inline>
        </w:drawing>
      </w:r>
    </w:p>
    <w:p>
      <w:pPr>
        <w:textAlignment w:val="baseline"/>
        <w:rPr>
          <w:b/>
          <w:bCs/>
        </w:rPr>
        <w:sectPr>
          <w:pgSz w:w="11906" w:h="16838"/>
          <w:pgMar w:top="1440" w:right="1800" w:bottom="1440" w:left="1800" w:header="851" w:footer="992" w:gutter="0"/>
          <w:cols w:space="425" w:num="1"/>
          <w:docGrid w:type="lines" w:linePitch="312" w:charSpace="0"/>
        </w:sectPr>
      </w:pPr>
    </w:p>
    <w:p>
      <w:pPr>
        <w:pStyle w:val="8"/>
        <w:widowControl/>
        <w:spacing w:beforeAutospacing="0" w:afterAutospacing="0"/>
        <w:rPr>
          <w:rFonts w:ascii="黑体" w:hAnsi="黑体" w:eastAsia="黑体"/>
          <w:sz w:val="32"/>
          <w:szCs w:val="32"/>
        </w:rPr>
      </w:pPr>
      <w:r>
        <w:rPr>
          <w:rFonts w:hint="eastAsia" w:ascii="黑体" w:hAnsi="黑体" w:eastAsia="黑体"/>
          <w:sz w:val="32"/>
          <w:szCs w:val="32"/>
        </w:rPr>
        <w:t>附件2</w:t>
      </w:r>
      <w:r>
        <w:rPr>
          <w:rFonts w:ascii="黑体" w:hAnsi="黑体" w:eastAsia="黑体"/>
          <w:sz w:val="32"/>
          <w:szCs w:val="32"/>
        </w:rPr>
        <w:t>-3</w:t>
      </w:r>
    </w:p>
    <w:p>
      <w:pPr>
        <w:pStyle w:val="8"/>
        <w:widowControl/>
        <w:spacing w:beforeAutospacing="0" w:afterAutospacing="0"/>
        <w:rPr>
          <w:sz w:val="44"/>
          <w:szCs w:val="44"/>
        </w:rPr>
      </w:pPr>
    </w:p>
    <w:p>
      <w:pPr>
        <w:pStyle w:val="8"/>
        <w:widowControl/>
        <w:spacing w:beforeAutospacing="0" w:afterAutospacing="0"/>
        <w:jc w:val="center"/>
        <w:rPr>
          <w:sz w:val="44"/>
          <w:szCs w:val="44"/>
        </w:rPr>
      </w:pPr>
      <w:r>
        <w:rPr>
          <w:rFonts w:hint="eastAsia"/>
          <w:sz w:val="44"/>
          <w:szCs w:val="44"/>
        </w:rPr>
        <w:t>2024年服务券用券操作流程</w:t>
      </w:r>
    </w:p>
    <w:p>
      <w:pPr>
        <w:pStyle w:val="8"/>
        <w:widowControl/>
        <w:spacing w:beforeAutospacing="0" w:afterAutospacing="0"/>
        <w:jc w:val="center"/>
      </w:pPr>
    </w:p>
    <w:p>
      <w:pPr>
        <w:pStyle w:val="8"/>
        <w:widowControl/>
        <w:spacing w:beforeAutospacing="0" w:afterAutospacing="0"/>
        <w:jc w:val="center"/>
      </w:pPr>
    </w:p>
    <w:p>
      <w:pPr>
        <w:pStyle w:val="8"/>
        <w:widowControl/>
        <w:spacing w:beforeAutospacing="0" w:afterAutospacing="0"/>
        <w:jc w:val="center"/>
      </w:pPr>
    </w:p>
    <w:p>
      <w:pPr>
        <w:pStyle w:val="8"/>
        <w:widowControl/>
        <w:spacing w:beforeAutospacing="0" w:afterAutospacing="0"/>
      </w:pPr>
      <w:r>
        <w:rPr>
          <w:rFonts w:hint="eastAsia"/>
        </w:rPr>
        <w:t>一、企业身份及划型认证</w:t>
      </w:r>
    </w:p>
    <w:p>
      <w:pPr>
        <w:pStyle w:val="8"/>
        <w:widowControl/>
        <w:spacing w:beforeAutospacing="0" w:afterAutospacing="0"/>
      </w:pPr>
    </w:p>
    <w:p>
      <w:pPr>
        <w:pStyle w:val="8"/>
        <w:widowControl/>
        <w:spacing w:beforeAutospacing="0" w:afterAutospacing="0"/>
      </w:pPr>
      <w:r>
        <w:t>1.电脑端登录北京统一身份认证网址（https://bjt.beijing.gov.cn/renzheng/p/login/login.html）做企业身份认证，如果所示。</w:t>
      </w:r>
    </w:p>
    <w:p>
      <w:pPr>
        <w:widowControl/>
        <w:jc w:val="left"/>
      </w:pPr>
      <w:r>
        <w:rPr>
          <w:rFonts w:ascii="宋体" w:hAnsi="宋体" w:cs="宋体"/>
          <w:kern w:val="0"/>
          <w:sz w:val="24"/>
        </w:rPr>
        <w:drawing>
          <wp:inline distT="0" distB="0" distL="114300" distR="114300">
            <wp:extent cx="4888865" cy="3878580"/>
            <wp:effectExtent l="0" t="0" r="6985" b="762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4888865" cy="3878580"/>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2.手机下载北京通企服版APP登录，点击底部【我的】，选择【注册登录】，建议通过下单客户的手机号进行注册。</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911090" cy="2695575"/>
            <wp:effectExtent l="0" t="0" r="3810" b="9525"/>
            <wp:docPr id="10"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7"/>
                    <pic:cNvPicPr>
                      <a:picLocks noChangeAspect="1"/>
                    </pic:cNvPicPr>
                  </pic:nvPicPr>
                  <pic:blipFill>
                    <a:blip r:embed="rId20"/>
                    <a:stretch>
                      <a:fillRect/>
                    </a:stretch>
                  </pic:blipFill>
                  <pic:spPr>
                    <a:xfrm>
                      <a:off x="0" y="0"/>
                      <a:ext cx="4911090" cy="269557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3.注册后需要进行企业认证，点击【去认证】，选择【北京市企业认证】，通过“北京市统一身份认证平台”的【电子营业执照】或【口令登录】进行，完成认证后再进行【企业划型认证】。根据资质列表提示依次完成符合自身企业的资质认定即可。</w:t>
      </w:r>
    </w:p>
    <w:p>
      <w:pPr>
        <w:pStyle w:val="8"/>
        <w:widowControl/>
        <w:spacing w:beforeAutospacing="0" w:afterAutospacing="0"/>
      </w:pP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6421120" cy="4447540"/>
            <wp:effectExtent l="0" t="0" r="17780" b="1016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21"/>
                    <a:stretch>
                      <a:fillRect/>
                    </a:stretch>
                  </pic:blipFill>
                  <pic:spPr>
                    <a:xfrm>
                      <a:off x="0" y="0"/>
                      <a:ext cx="6421120" cy="4447540"/>
                    </a:xfrm>
                    <a:prstGeom prst="rect">
                      <a:avLst/>
                    </a:prstGeom>
                    <a:noFill/>
                    <a:ln w="9525">
                      <a:noFill/>
                    </a:ln>
                  </pic:spPr>
                </pic:pic>
              </a:graphicData>
            </a:graphic>
          </wp:inline>
        </w:drawing>
      </w:r>
    </w:p>
    <w:p>
      <w:pPr>
        <w:pStyle w:val="8"/>
        <w:widowControl/>
        <w:spacing w:beforeAutospacing="0" w:afterAutospacing="0"/>
      </w:pPr>
    </w:p>
    <w:p>
      <w:pPr>
        <w:pStyle w:val="8"/>
        <w:widowControl/>
        <w:shd w:val="clear" w:color="auto" w:fill="FFFFFF"/>
        <w:spacing w:beforeAutospacing="0" w:afterAutospacing="0"/>
        <w:rPr>
          <w:rFonts w:ascii="Microsoft YaHei UI" w:hAnsi="Microsoft YaHei UI" w:eastAsia="Microsoft YaHei UI" w:cs="Microsoft YaHei UI"/>
          <w:spacing w:val="10"/>
          <w:sz w:val="16"/>
          <w:szCs w:val="16"/>
        </w:rPr>
      </w:pPr>
    </w:p>
    <w:p>
      <w:pPr>
        <w:pStyle w:val="8"/>
        <w:widowControl/>
        <w:spacing w:beforeAutospacing="0" w:afterAutospacing="0"/>
      </w:pPr>
      <w:r>
        <w:rPr>
          <w:rStyle w:val="10"/>
        </w:rPr>
        <w:t>二、</w:t>
      </w:r>
      <w:r>
        <w:rPr>
          <w:rFonts w:hint="eastAsia"/>
        </w:rPr>
        <w:t>服务产品查询和领券下单</w:t>
      </w:r>
    </w:p>
    <w:p>
      <w:pPr>
        <w:pStyle w:val="8"/>
        <w:widowControl/>
        <w:spacing w:beforeAutospacing="0" w:afterAutospacing="0"/>
      </w:pPr>
    </w:p>
    <w:p>
      <w:pPr>
        <w:pStyle w:val="8"/>
        <w:widowControl/>
        <w:spacing w:beforeAutospacing="0" w:afterAutospacing="0"/>
      </w:pPr>
    </w:p>
    <w:p>
      <w:pPr>
        <w:pStyle w:val="8"/>
        <w:widowControl/>
        <w:spacing w:beforeAutospacing="0" w:afterAutospacing="0"/>
      </w:pPr>
      <w:r>
        <w:t>完成注册、登录与企业相关资质认证后，可进入服务产品查询与下单环节。</w:t>
      </w:r>
    </w:p>
    <w:p>
      <w:pPr>
        <w:pStyle w:val="8"/>
        <w:widowControl/>
        <w:spacing w:beforeAutospacing="0" w:afterAutospacing="0"/>
      </w:pPr>
    </w:p>
    <w:p>
      <w:pPr>
        <w:pStyle w:val="8"/>
        <w:widowControl/>
        <w:spacing w:beforeAutospacing="0" w:afterAutospacing="0"/>
      </w:pPr>
      <w:r>
        <w:rPr>
          <w:rStyle w:val="10"/>
        </w:rPr>
        <w:t>1、查询服务商服务产品</w:t>
      </w:r>
    </w:p>
    <w:p>
      <w:pPr>
        <w:pStyle w:val="8"/>
        <w:widowControl/>
        <w:spacing w:beforeAutospacing="0" w:afterAutospacing="0"/>
      </w:pPr>
      <w:r>
        <w:t>从北京通企服版APP登录，点击底部【服务】，中部显示“中小企业服务券”服务券专栏区域点击右上角“更多优惠”，顶部选择相应类别（例如“成果转化”），可以找到相应的服务标题和产品logo（例如“科技成果转化服务”及其logo）。企业可以通过这种方式查询期望购买的服务产品。</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343400" cy="4755515"/>
            <wp:effectExtent l="0" t="0" r="0" b="698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22"/>
                    <a:stretch>
                      <a:fillRect/>
                    </a:stretch>
                  </pic:blipFill>
                  <pic:spPr>
                    <a:xfrm>
                      <a:off x="0" y="0"/>
                      <a:ext cx="4343400" cy="475551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rPr>
          <w:rStyle w:val="10"/>
        </w:rPr>
        <w:t>2、领券下单</w:t>
      </w:r>
    </w:p>
    <w:p>
      <w:pPr>
        <w:pStyle w:val="8"/>
        <w:widowControl/>
        <w:spacing w:beforeAutospacing="0" w:afterAutospacing="0"/>
      </w:pPr>
      <w:r>
        <w:t>找到对应商品后，点击“去下单”即可进入服务详情页和下单页面，再选择【中小企业服务券】。</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5353685" cy="2065020"/>
            <wp:effectExtent l="0" t="0" r="18415" b="1143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23"/>
                    <a:stretch>
                      <a:fillRect/>
                    </a:stretch>
                  </pic:blipFill>
                  <pic:spPr>
                    <a:xfrm>
                      <a:off x="0" y="0"/>
                      <a:ext cx="5353685" cy="2065020"/>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通过【中小企业服务券】查找所需产品进行下单，选择好产品后点击【去下单】，进入产品页面后点击【申请服务】。</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642485" cy="2501265"/>
            <wp:effectExtent l="0" t="0" r="5715" b="13335"/>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24"/>
                    <a:stretch>
                      <a:fillRect/>
                    </a:stretch>
                  </pic:blipFill>
                  <pic:spPr>
                    <a:xfrm>
                      <a:off x="0" y="0"/>
                      <a:ext cx="4642485" cy="250126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确认下单的企业信息，选择【提交订单】即可。后台将由产品服务商来进行接单，工作人员将第一时间与您联系。</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750435" cy="4415155"/>
            <wp:effectExtent l="0" t="0" r="12065" b="444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25"/>
                    <a:stretch>
                      <a:fillRect/>
                    </a:stretch>
                  </pic:blipFill>
                  <pic:spPr>
                    <a:xfrm>
                      <a:off x="0" y="0"/>
                      <a:ext cx="4750435" cy="4415155"/>
                    </a:xfrm>
                    <a:prstGeom prst="rect">
                      <a:avLst/>
                    </a:prstGeom>
                    <a:noFill/>
                    <a:ln w="9525">
                      <a:noFill/>
                    </a:ln>
                  </pic:spPr>
                </pic:pic>
              </a:graphicData>
            </a:graphic>
          </wp:inline>
        </w:drawing>
      </w:r>
    </w:p>
    <w:p>
      <w:pPr>
        <w:pStyle w:val="8"/>
        <w:widowControl/>
        <w:spacing w:beforeAutospacing="0" w:afterAutospacing="0"/>
        <w:rPr>
          <w:rFonts w:ascii="Microsoft YaHei UI" w:hAnsi="Microsoft YaHei UI" w:eastAsia="Microsoft YaHei UI" w:cs="Microsoft YaHei UI"/>
          <w:spacing w:val="10"/>
          <w:sz w:val="16"/>
          <w:szCs w:val="16"/>
        </w:rPr>
      </w:pPr>
    </w:p>
    <w:p>
      <w:pPr>
        <w:pStyle w:val="8"/>
        <w:widowControl/>
        <w:spacing w:beforeAutospacing="0" w:afterAutospacing="0"/>
      </w:pPr>
      <w:r>
        <w:rPr>
          <w:rStyle w:val="10"/>
        </w:rPr>
        <w:t>三、服务商接单</w:t>
      </w:r>
    </w:p>
    <w:p>
      <w:pPr>
        <w:pStyle w:val="8"/>
        <w:widowControl/>
        <w:spacing w:beforeAutospacing="0" w:afterAutospacing="0"/>
      </w:pPr>
    </w:p>
    <w:p>
      <w:pPr>
        <w:pStyle w:val="8"/>
        <w:widowControl/>
        <w:spacing w:beforeAutospacing="0" w:afterAutospacing="0"/>
      </w:pPr>
    </w:p>
    <w:p>
      <w:pPr>
        <w:pStyle w:val="8"/>
        <w:widowControl/>
        <w:spacing w:beforeAutospacing="0" w:afterAutospacing="0"/>
      </w:pPr>
      <w:r>
        <w:t>当客户完成下单后，需要等待服务商接单并联系客户，沟通详情</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222115" cy="2376805"/>
            <wp:effectExtent l="0" t="0" r="6985" b="444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26"/>
                    <a:stretch>
                      <a:fillRect/>
                    </a:stretch>
                  </pic:blipFill>
                  <pic:spPr>
                    <a:xfrm>
                      <a:off x="0" y="0"/>
                      <a:ext cx="4222115" cy="237680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接单通过【产品服务中心】进入该页面，选择【我的服务券订单】，根据相对应的订单点击【接单】并【确定】。</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683125" cy="2415540"/>
            <wp:effectExtent l="0" t="0" r="3175" b="3810"/>
            <wp:docPr id="18" name="图片 1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4"/>
                    <pic:cNvPicPr>
                      <a:picLocks noChangeAspect="1"/>
                    </pic:cNvPicPr>
                  </pic:nvPicPr>
                  <pic:blipFill>
                    <a:blip r:embed="rId27"/>
                    <a:stretch>
                      <a:fillRect/>
                    </a:stretch>
                  </pic:blipFill>
                  <pic:spPr>
                    <a:xfrm>
                      <a:off x="0" y="0"/>
                      <a:ext cx="4683125" cy="2415540"/>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rPr>
          <w:rStyle w:val="10"/>
        </w:rPr>
        <w:t>双方线下签约、完成交易</w:t>
      </w:r>
    </w:p>
    <w:p>
      <w:pPr>
        <w:pStyle w:val="8"/>
        <w:widowControl/>
        <w:spacing w:beforeAutospacing="0" w:afterAutospacing="0"/>
      </w:pPr>
    </w:p>
    <w:p>
      <w:pPr>
        <w:pStyle w:val="8"/>
        <w:widowControl/>
        <w:spacing w:beforeAutospacing="0" w:afterAutospacing="0"/>
      </w:pPr>
      <w:r>
        <w:t>已完成下单后，服务商将及时与您（企业）所填联系人取得联系，确认合作内容、合作细节及合作协议。沟通确认无误后，将启动线下签约流程。根据已确定协议内容，双方执行线下合作签约，签约完成后即可进行付款交易。</w:t>
      </w:r>
    </w:p>
    <w:p>
      <w:pPr>
        <w:pStyle w:val="8"/>
        <w:widowControl/>
        <w:spacing w:beforeAutospacing="0" w:afterAutospacing="0"/>
      </w:pPr>
    </w:p>
    <w:p>
      <w:pPr>
        <w:pStyle w:val="8"/>
        <w:widowControl/>
        <w:spacing w:beforeAutospacing="0" w:afterAutospacing="0"/>
      </w:pPr>
    </w:p>
    <w:p>
      <w:pPr>
        <w:pStyle w:val="8"/>
        <w:widowControl/>
        <w:spacing w:beforeAutospacing="0" w:afterAutospacing="0"/>
      </w:pPr>
    </w:p>
    <w:p>
      <w:pPr>
        <w:pStyle w:val="8"/>
        <w:widowControl/>
        <w:spacing w:beforeAutospacing="0" w:afterAutospacing="0"/>
      </w:pPr>
      <w:r>
        <w:rPr>
          <w:rStyle w:val="10"/>
          <w:rFonts w:hint="eastAsia"/>
        </w:rPr>
        <w:t>四、</w:t>
      </w:r>
      <w:r>
        <w:rPr>
          <w:rStyle w:val="10"/>
        </w:rPr>
        <w:t>服务券订单所需材料</w:t>
      </w:r>
    </w:p>
    <w:p>
      <w:pPr>
        <w:pStyle w:val="8"/>
        <w:widowControl/>
        <w:spacing w:beforeAutospacing="0" w:afterAutospacing="0"/>
      </w:pPr>
    </w:p>
    <w:p>
      <w:pPr>
        <w:pStyle w:val="8"/>
        <w:widowControl/>
        <w:spacing w:beforeAutospacing="0" w:afterAutospacing="0"/>
      </w:pPr>
      <w:r>
        <w:t>合同签约、付款完成后视为服务订单正式生效，服务内容将由服务商工作人员与企业线下实时跟进对接。但签约前企业需向服务商提供以下材料：</w:t>
      </w:r>
    </w:p>
    <w:p>
      <w:pPr>
        <w:pStyle w:val="8"/>
        <w:widowControl/>
        <w:spacing w:beforeAutospacing="0" w:afterAutospacing="0"/>
      </w:pPr>
    </w:p>
    <w:p>
      <w:pPr>
        <w:pStyle w:val="8"/>
        <w:widowControl/>
        <w:spacing w:beforeAutospacing="0" w:afterAutospacing="0"/>
      </w:pPr>
      <w:r>
        <w:t>1、打印服务商已向企业方提供的划型证明文件，扫描并盖章，文件样式如下：</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455795" cy="6684010"/>
            <wp:effectExtent l="0" t="0" r="1905" b="2540"/>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28"/>
                    <a:stretch>
                      <a:fillRect/>
                    </a:stretch>
                  </pic:blipFill>
                  <pic:spPr>
                    <a:xfrm>
                      <a:off x="0" y="0"/>
                      <a:ext cx="4455795" cy="6684010"/>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rPr>
          <w:rStyle w:val="10"/>
        </w:rPr>
      </w:pPr>
    </w:p>
    <w:p>
      <w:pPr>
        <w:pStyle w:val="8"/>
        <w:widowControl/>
        <w:spacing w:beforeAutospacing="0" w:afterAutospacing="0"/>
      </w:pPr>
      <w:r>
        <w:rPr>
          <w:rStyle w:val="10"/>
        </w:rPr>
        <w:t>步骤：</w:t>
      </w:r>
    </w:p>
    <w:p>
      <w:pPr>
        <w:pStyle w:val="8"/>
        <w:widowControl/>
        <w:spacing w:beforeAutospacing="0" w:afterAutospacing="0"/>
      </w:pPr>
      <w:r>
        <w:t>（1）</w:t>
      </w:r>
      <w:r>
        <w:rPr>
          <w:rFonts w:hint="eastAsia"/>
        </w:rPr>
        <w:t>企业</w:t>
      </w:r>
      <w:r>
        <w:t>在服务订单列表中，可点击“划型文件” 打开该订单申请企业的划型证明文件。</w:t>
      </w:r>
    </w:p>
    <w:p>
      <w:pPr>
        <w:pStyle w:val="8"/>
        <w:widowControl/>
        <w:spacing w:beforeAutospacing="0" w:afterAutospacing="0"/>
      </w:pPr>
      <w:r>
        <w:t>（2）将该证明下载打印后填写完整并加盖公章</w:t>
      </w:r>
      <w:r>
        <w:rPr>
          <w:rFonts w:hint="eastAsia"/>
        </w:rPr>
        <w:t>并</w:t>
      </w:r>
      <w:r>
        <w:t>将已盖章的企业划型证明扫描或拍照存为图片或PDF文件</w:t>
      </w:r>
      <w:r>
        <w:rPr>
          <w:rFonts w:hint="eastAsia"/>
        </w:rPr>
        <w:t>，交于服务商</w:t>
      </w:r>
      <w:r>
        <w:t>。</w:t>
      </w:r>
    </w:p>
    <w:p>
      <w:pPr>
        <w:pStyle w:val="8"/>
        <w:widowControl/>
        <w:spacing w:beforeAutospacing="0" w:afterAutospacing="0"/>
      </w:pPr>
      <w:r>
        <w:t>（</w:t>
      </w:r>
      <w:r>
        <w:rPr>
          <w:rFonts w:hint="eastAsia"/>
        </w:rPr>
        <w:t>3</w:t>
      </w:r>
      <w:r>
        <w:t>）在进行服务券订单“完成服务”操作时作为申请兑付的资料上传使用。</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5295900" cy="843915"/>
            <wp:effectExtent l="0" t="0" r="0" b="13335"/>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29"/>
                    <a:stretch>
                      <a:fillRect/>
                    </a:stretch>
                  </pic:blipFill>
                  <pic:spPr>
                    <a:xfrm>
                      <a:off x="0" y="0"/>
                      <a:ext cx="5295900" cy="84391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t>服务商应该在跟企业进行线下沟通时确认划型证明中的数据是否正确，有问题及时提醒企业申请重新划型。</w:t>
      </w:r>
    </w:p>
    <w:p>
      <w:pPr>
        <w:pStyle w:val="8"/>
        <w:widowControl/>
        <w:spacing w:beforeAutospacing="0" w:afterAutospacing="0"/>
      </w:pPr>
    </w:p>
    <w:p>
      <w:pPr>
        <w:pStyle w:val="8"/>
        <w:widowControl/>
        <w:spacing w:beforeAutospacing="0" w:afterAutospacing="0"/>
      </w:pPr>
      <w:r>
        <w:rPr>
          <w:rStyle w:val="11"/>
          <w:iCs/>
          <w:color w:val="888888"/>
        </w:rPr>
        <w:t>注：已盖章的企业划型证明纸质文件请小心保存以备兑付评审时查阅。普通订单无需做划型证明。</w:t>
      </w:r>
    </w:p>
    <w:p>
      <w:pPr>
        <w:pStyle w:val="8"/>
        <w:widowControl/>
        <w:spacing w:beforeAutospacing="0" w:afterAutospacing="0"/>
      </w:pPr>
    </w:p>
    <w:p>
      <w:pPr>
        <w:pStyle w:val="8"/>
        <w:widowControl/>
        <w:spacing w:beforeAutospacing="0" w:afterAutospacing="0"/>
      </w:pPr>
      <w:r>
        <w:rPr>
          <w:rStyle w:val="10"/>
        </w:rPr>
        <w:t>2、服务商需准备系统上传兑付材料</w:t>
      </w:r>
    </w:p>
    <w:p>
      <w:pPr>
        <w:pStyle w:val="8"/>
        <w:widowControl/>
        <w:spacing w:beforeAutospacing="0" w:afterAutospacing="0"/>
      </w:pPr>
      <w:r>
        <w:t>1、企业盖章版的“中小微企业划型及用券承诺”pdf版；</w:t>
      </w:r>
    </w:p>
    <w:p>
      <w:pPr>
        <w:pStyle w:val="8"/>
        <w:widowControl/>
        <w:spacing w:beforeAutospacing="0" w:afterAutospacing="0"/>
      </w:pPr>
      <w:r>
        <w:t>2、发票PDF版  +发票真伪验证结果文件；</w:t>
      </w:r>
    </w:p>
    <w:p>
      <w:pPr>
        <w:pStyle w:val="8"/>
        <w:widowControl/>
        <w:spacing w:beforeAutospacing="0" w:afterAutospacing="0"/>
      </w:pPr>
      <w:r>
        <w:t>3、服务商银行收款凭证（银行回执单；</w:t>
      </w:r>
    </w:p>
    <w:p>
      <w:pPr>
        <w:pStyle w:val="8"/>
        <w:widowControl/>
        <w:spacing w:beforeAutospacing="0" w:afterAutospacing="0"/>
      </w:pPr>
      <w:r>
        <w:t>4、双方盖章版的合同pdf版。</w:t>
      </w:r>
    </w:p>
    <w:p>
      <w:pPr>
        <w:pStyle w:val="8"/>
        <w:widowControl/>
        <w:spacing w:beforeAutospacing="0" w:afterAutospacing="0"/>
      </w:pPr>
    </w:p>
    <w:p>
      <w:pPr>
        <w:widowControl/>
        <w:jc w:val="left"/>
      </w:pPr>
      <w:r>
        <w:rPr>
          <w:rFonts w:ascii="宋体" w:hAnsi="宋体" w:cs="宋体"/>
          <w:kern w:val="0"/>
          <w:sz w:val="24"/>
        </w:rPr>
        <w:drawing>
          <wp:inline distT="0" distB="0" distL="114300" distR="114300">
            <wp:extent cx="4966970" cy="3698875"/>
            <wp:effectExtent l="0" t="0" r="5080" b="15875"/>
            <wp:docPr id="2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67"/>
                    <pic:cNvPicPr>
                      <a:picLocks noChangeAspect="1"/>
                    </pic:cNvPicPr>
                  </pic:nvPicPr>
                  <pic:blipFill>
                    <a:blip r:embed="rId30"/>
                    <a:stretch>
                      <a:fillRect/>
                    </a:stretch>
                  </pic:blipFill>
                  <pic:spPr>
                    <a:xfrm>
                      <a:off x="0" y="0"/>
                      <a:ext cx="4966970" cy="3698875"/>
                    </a:xfrm>
                    <a:prstGeom prst="rect">
                      <a:avLst/>
                    </a:prstGeom>
                    <a:noFill/>
                    <a:ln w="9525">
                      <a:noFill/>
                    </a:ln>
                  </pic:spPr>
                </pic:pic>
              </a:graphicData>
            </a:graphic>
          </wp:inline>
        </w:drawing>
      </w:r>
    </w:p>
    <w:p>
      <w:pPr>
        <w:pStyle w:val="8"/>
        <w:widowControl/>
        <w:spacing w:beforeAutospacing="0" w:afterAutospacing="0"/>
      </w:pPr>
    </w:p>
    <w:p>
      <w:pPr>
        <w:pStyle w:val="8"/>
        <w:widowControl/>
        <w:spacing w:beforeAutospacing="0" w:afterAutospacing="0"/>
      </w:pPr>
      <w:r>
        <w:rPr>
          <w:rStyle w:val="11"/>
          <w:iCs/>
          <w:color w:val="888888"/>
        </w:rPr>
        <w:t>注：除其他文件外，每种文件仅可上传一个。若有多张图片或文件，请合成一个PDF文件再上传。</w:t>
      </w:r>
    </w:p>
    <w:p>
      <w:pPr>
        <w:pStyle w:val="8"/>
        <w:widowControl/>
        <w:shd w:val="clear" w:color="auto" w:fill="FFFFFF"/>
        <w:spacing w:beforeAutospacing="0" w:afterAutospacing="0"/>
        <w:rPr>
          <w:rFonts w:ascii="Microsoft YaHei UI" w:hAnsi="Microsoft YaHei UI" w:eastAsia="Microsoft YaHei UI" w:cs="Microsoft YaHei UI"/>
          <w:spacing w:val="10"/>
          <w:sz w:val="16"/>
          <w:szCs w:val="16"/>
        </w:rPr>
      </w:pPr>
    </w:p>
    <w:p>
      <w:pPr>
        <w:pStyle w:val="8"/>
        <w:widowControl/>
        <w:spacing w:beforeAutospacing="0" w:afterAutospacing="0"/>
      </w:pPr>
      <w:r>
        <w:rPr>
          <w:rStyle w:val="10"/>
        </w:rPr>
        <w:t>五、注意事项</w:t>
      </w:r>
    </w:p>
    <w:p>
      <w:pPr>
        <w:pStyle w:val="8"/>
        <w:widowControl/>
        <w:spacing w:beforeAutospacing="0" w:afterAutospacing="0"/>
      </w:pPr>
    </w:p>
    <w:p>
      <w:pPr>
        <w:pStyle w:val="8"/>
        <w:widowControl/>
        <w:spacing w:beforeAutospacing="0" w:afterAutospacing="0"/>
      </w:pPr>
      <w:r>
        <w:rPr>
          <w:rFonts w:hint="eastAsia"/>
        </w:rPr>
        <w:t>1</w:t>
      </w:r>
      <w:r>
        <w:t>、材料需按服务商培训及系统提示全部提供；涉及到后期财政付款，会核查订单的真实性，如果涉及情况金额不符，直接作废，无法完成兑付；</w:t>
      </w:r>
    </w:p>
    <w:p>
      <w:pPr>
        <w:pStyle w:val="8"/>
        <w:widowControl/>
        <w:spacing w:beforeAutospacing="0" w:afterAutospacing="0"/>
      </w:pPr>
    </w:p>
    <w:p>
      <w:pPr>
        <w:pStyle w:val="8"/>
        <w:widowControl/>
        <w:spacing w:beforeAutospacing="0" w:afterAutospacing="0"/>
      </w:pPr>
      <w:r>
        <w:rPr>
          <w:rFonts w:hint="eastAsia"/>
        </w:rPr>
        <w:t>2</w:t>
      </w:r>
      <w:r>
        <w:t>、接单后提供完相对应的材料后，请勿点击【完成服务】，需要服务商进行材料审核。若点击【完成服务】，订单明细直接递交至审核系统，无法撤回和确认材料是否有误差；</w:t>
      </w:r>
    </w:p>
    <w:p>
      <w:pPr>
        <w:pStyle w:val="8"/>
        <w:widowControl/>
        <w:spacing w:beforeAutospacing="0" w:afterAutospacing="0"/>
      </w:pPr>
    </w:p>
    <w:p>
      <w:pPr>
        <w:pStyle w:val="8"/>
        <w:widowControl/>
        <w:spacing w:beforeAutospacing="0" w:afterAutospacing="0"/>
      </w:pPr>
      <w:r>
        <w:rPr>
          <w:rFonts w:hint="eastAsia"/>
        </w:rPr>
        <w:t>3</w:t>
      </w:r>
      <w:r>
        <w:t>、订单服务完成后需要企业客户对服务商作出评价。</w:t>
      </w:r>
    </w:p>
    <w:p>
      <w:pPr>
        <w:pStyle w:val="8"/>
        <w:widowControl/>
        <w:snapToGrid w:val="0"/>
        <w:spacing w:beforeAutospacing="0" w:afterAutospacing="0" w:line="560" w:lineRule="exact"/>
        <w:ind w:firstLine="640" w:firstLineChars="200"/>
        <w:rPr>
          <w:rFonts w:eastAsia="仿宋_GB2312"/>
          <w:kern w:val="0"/>
          <w:sz w:val="32"/>
          <w:szCs w:val="32"/>
          <w:shd w:val="clear" w:color="auto" w:fill="FFFFFF"/>
        </w:rPr>
      </w:pPr>
    </w:p>
    <w:p>
      <w:pPr>
        <w:spacing w:line="560" w:lineRule="exact"/>
        <w:rPr>
          <w:rFonts w:ascii="Times New Roman" w:hAnsi="Times New Roman"/>
        </w:rPr>
      </w:pPr>
    </w:p>
    <w:sectPr>
      <w:footerReference r:id="rId4" w:type="default"/>
      <w:pgSz w:w="11906" w:h="16838"/>
      <w:pgMar w:top="1701" w:right="1474" w:bottom="1701"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altName w:val="方正宋体S-超大字符集"/>
    <w:panose1 w:val="02000000000000000000"/>
    <w:charset w:val="86"/>
    <w:family w:val="auto"/>
    <w:pitch w:val="default"/>
    <w:sig w:usb0="00000001" w:usb1="08000000" w:usb2="00000000" w:usb3="00000000" w:csb0="00040000" w:csb1="00000000"/>
  </w:font>
  <w:font w:name="方正黑体_GBK">
    <w:altName w:val="思源黑体 CN"/>
    <w:panose1 w:val="02000000000000000000"/>
    <w:charset w:val="00"/>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方正宋体S-超大字符集">
    <w:panose1 w:val="02000000000000000000"/>
    <w:charset w:val="86"/>
    <w:family w:val="auto"/>
    <w:pitch w:val="default"/>
    <w:sig w:usb0="00000001" w:usb1="08000000" w:usb2="00000000" w:usb3="00000000" w:csb0="00040000" w:csb1="00000000"/>
  </w:font>
  <w:font w:name="思源黑体 CN">
    <w:panose1 w:val="020B0600000000000000"/>
    <w:charset w:val="86"/>
    <w:family w:val="auto"/>
    <w:pitch w:val="default"/>
    <w:sig w:usb0="20000003" w:usb1="2ADF3C10" w:usb2="00000016" w:usb3="00000000" w:csb0="60060107" w:csb1="00000000"/>
  </w:font>
  <w:font w:name="黑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等线">
    <w:altName w:val="仿宋"/>
    <w:panose1 w:val="00000000000000000000"/>
    <w:charset w:val="86"/>
    <w:family w:val="auto"/>
    <w:pitch w:val="default"/>
    <w:sig w:usb0="00000000" w:usb1="00000000" w:usb2="00000016" w:usb3="00000000" w:csb0="0004000F" w:csb1="00000000"/>
  </w:font>
  <w:font w:name="微软雅黑">
    <w:altName w:val="黑体"/>
    <w:panose1 w:val="020B0503020204020204"/>
    <w:charset w:val="86"/>
    <w:family w:val="swiss"/>
    <w:pitch w:val="default"/>
    <w:sig w:usb0="00000000" w:usb1="00000000" w:usb2="00000016" w:usb3="00000000" w:csb0="0004001F" w:csb1="00000000"/>
  </w:font>
  <w:font w:name="Wingdings">
    <w:panose1 w:val="05000000000000000000"/>
    <w:charset w:val="02"/>
    <w:family w:val="auto"/>
    <w:pitch w:val="default"/>
    <w:sig w:usb0="00000000" w:usb1="00000000" w:usb2="00000000" w:usb3="00000000" w:csb0="80000000" w:csb1="00000000"/>
  </w:font>
  <w:font w:name="Microsoft YaHei UI">
    <w:altName w:val="Monospace"/>
    <w:panose1 w:val="020B0503020204020204"/>
    <w:charset w:val="86"/>
    <w:family w:val="swiss"/>
    <w:pitch w:val="default"/>
    <w:sig w:usb0="00000000" w:usb1="00000000" w:usb2="00000016" w:usb3="00000000" w:csb0="0004001F" w:csb1="00000000"/>
  </w:font>
  <w:font w:name="Monospace">
    <w:altName w:val="Times New Roman"/>
    <w:panose1 w:val="020B0609030804020204"/>
    <w:charset w:val="00"/>
    <w:family w:val="auto"/>
    <w:pitch w:val="default"/>
    <w:sig w:usb0="00000000" w:usb1="00000000" w:usb2="00000000" w:usb3="00000000" w:csb0="001D016D" w:csb1="00000000"/>
  </w:font>
  <w:font w:name="Monospace">
    <w:altName w:val="Monospace"/>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PAGE  \* MERGEFORMAT </w:instrText>
                          </w:r>
                          <w:r>
                            <w:rPr>
                              <w:rFonts w:hint="eastAsia" w:asciiTheme="minorEastAsia" w:hAnsiTheme="minorEastAsia" w:eastAsiaTheme="minorEastAsia"/>
                              <w:sz w:val="28"/>
                              <w:szCs w:val="28"/>
                            </w:rPr>
                            <w:fldChar w:fldCharType="separate"/>
                          </w:r>
                          <w:r>
                            <w:rPr>
                              <w:rFonts w:asciiTheme="minorEastAsia" w:hAnsiTheme="minorEastAsia" w:eastAsiaTheme="minorEastAsia"/>
                              <w:sz w:val="28"/>
                              <w:szCs w:val="28"/>
                            </w:rPr>
                            <w:t>- 1 -</w:t>
                          </w:r>
                          <w:r>
                            <w:rPr>
                              <w:rFonts w:hint="eastAsia" w:asciiTheme="minorEastAsia" w:hAnsiTheme="minorEastAsia"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NJWO7QAAAA&#10;BQEAAA8AAAAAAAAAAQAgAAAAOAAAAGRycy9kb3ducmV2LnhtbFBLAQIUABQAAAAIAIdO4kBz+GTZ&#10;DwIAAAcEAAAOAAAAAAAAAAEAIAAAADUBAABkcnMvZTJvRG9jLnhtbFBLBQYAAAAABgAGAFkBAAC2&#10;BQAAAAA=&#10;">
              <v:fill on="f" focussize="0,0"/>
              <v:stroke on="f" weight="0.5pt"/>
              <v:imagedata o:title=""/>
              <o:lock v:ext="edit" aspectratio="f"/>
              <v:textbox inset="0mm,0mm,0mm,0mm" style="mso-fit-shape-to-text:t;">
                <w:txbxContent>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PAGE  \* MERGEFORMAT </w:instrText>
                    </w:r>
                    <w:r>
                      <w:rPr>
                        <w:rFonts w:hint="eastAsia" w:asciiTheme="minorEastAsia" w:hAnsiTheme="minorEastAsia" w:eastAsiaTheme="minorEastAsia"/>
                        <w:sz w:val="28"/>
                        <w:szCs w:val="28"/>
                      </w:rPr>
                      <w:fldChar w:fldCharType="separate"/>
                    </w:r>
                    <w:r>
                      <w:rPr>
                        <w:rFonts w:asciiTheme="minorEastAsia" w:hAnsiTheme="minorEastAsia" w:eastAsiaTheme="minorEastAsia"/>
                        <w:sz w:val="28"/>
                        <w:szCs w:val="28"/>
                      </w:rPr>
                      <w:t>- 1 -</w:t>
                    </w:r>
                    <w:r>
                      <w:rPr>
                        <w:rFonts w:hint="eastAsia" w:asciiTheme="minorEastAsia" w:hAnsiTheme="minorEastAsia" w:eastAsia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PAGE  \* MERGEFORMAT </w:instrText>
                          </w:r>
                          <w:r>
                            <w:rPr>
                              <w:rFonts w:hint="eastAsia" w:asciiTheme="minorEastAsia" w:hAnsiTheme="minorEastAsia" w:eastAsiaTheme="minorEastAsia"/>
                              <w:sz w:val="28"/>
                              <w:szCs w:val="28"/>
                            </w:rPr>
                            <w:fldChar w:fldCharType="separate"/>
                          </w:r>
                          <w:r>
                            <w:rPr>
                              <w:rFonts w:asciiTheme="minorEastAsia" w:hAnsiTheme="minorEastAsia" w:eastAsiaTheme="minorEastAsia"/>
                              <w:sz w:val="28"/>
                              <w:szCs w:val="28"/>
                            </w:rPr>
                            <w:t>- 1 -</w:t>
                          </w:r>
                          <w:r>
                            <w:rPr>
                              <w:rFonts w:hint="eastAsia" w:asciiTheme="minorEastAsia" w:hAnsiTheme="minorEastAsia"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0lY7tAAAAAF&#10;AQAADwAAAAAAAAABACAAAAA4AAAAZHJzL2Rvd25yZXYueG1sUEsBAhQAFAAAAAgAh07iQPpO5poO&#10;AgAABwQAAA4AAAAAAAAAAQAgAAAANQEAAGRycy9lMm9Eb2MueG1sUEsFBgAAAAAGAAYAWQEAALUF&#10;AAAAAA==&#10;">
              <v:fill on="f" focussize="0,0"/>
              <v:stroke on="f" weight="0.5pt"/>
              <v:imagedata o:title=""/>
              <o:lock v:ext="edit" aspectratio="f"/>
              <v:textbox inset="0mm,0mm,0mm,0mm" style="mso-fit-shape-to-text:t;">
                <w:txbxContent>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PAGE  \* MERGEFORMAT </w:instrText>
                    </w:r>
                    <w:r>
                      <w:rPr>
                        <w:rFonts w:hint="eastAsia" w:asciiTheme="minorEastAsia" w:hAnsiTheme="minorEastAsia" w:eastAsiaTheme="minorEastAsia"/>
                        <w:sz w:val="28"/>
                        <w:szCs w:val="28"/>
                      </w:rPr>
                      <w:fldChar w:fldCharType="separate"/>
                    </w:r>
                    <w:r>
                      <w:rPr>
                        <w:rFonts w:asciiTheme="minorEastAsia" w:hAnsiTheme="minorEastAsia" w:eastAsiaTheme="minorEastAsia"/>
                        <w:sz w:val="28"/>
                        <w:szCs w:val="28"/>
                      </w:rPr>
                      <w:t>- 1 -</w:t>
                    </w:r>
                    <w:r>
                      <w:rPr>
                        <w:rFonts w:hint="eastAsia" w:asciiTheme="minorEastAsia" w:hAnsiTheme="minorEastAsia" w:eastAsia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7963D5"/>
    <w:multiLevelType w:val="singleLevel"/>
    <w:tmpl w:val="E77963D5"/>
    <w:lvl w:ilvl="0" w:tentative="0">
      <w:start w:val="1"/>
      <w:numFmt w:val="decimal"/>
      <w:suff w:val="nothing"/>
      <w:lvlText w:val="%1."/>
      <w:lvlJc w:val="left"/>
      <w:pPr>
        <w:ind w:left="454" w:hanging="454"/>
      </w:pPr>
      <w:rPr>
        <w:rFonts w:hint="default"/>
      </w:rPr>
    </w:lvl>
  </w:abstractNum>
  <w:abstractNum w:abstractNumId="1">
    <w:nsid w:val="E8FDF8FF"/>
    <w:multiLevelType w:val="singleLevel"/>
    <w:tmpl w:val="E8FDF8FF"/>
    <w:lvl w:ilvl="0" w:tentative="0">
      <w:start w:val="2"/>
      <w:numFmt w:val="decimal"/>
      <w:suff w:val="nothing"/>
      <w:lvlText w:val="%1、"/>
      <w:lvlJc w:val="left"/>
    </w:lvl>
  </w:abstractNum>
  <w:abstractNum w:abstractNumId="2">
    <w:nsid w:val="33001B8C"/>
    <w:multiLevelType w:val="singleLevel"/>
    <w:tmpl w:val="33001B8C"/>
    <w:lvl w:ilvl="0" w:tentative="0">
      <w:start w:val="1"/>
      <w:numFmt w:val="decimal"/>
      <w:lvlText w:val="(%1)"/>
      <w:lvlJc w:val="left"/>
      <w:pPr>
        <w:ind w:left="425" w:hanging="425"/>
      </w:pPr>
      <w:rPr>
        <w:rFonts w:hint="default"/>
      </w:rPr>
    </w:lvl>
  </w:abstractNum>
  <w:abstractNum w:abstractNumId="3">
    <w:nsid w:val="413AE5FF"/>
    <w:multiLevelType w:val="multilevel"/>
    <w:tmpl w:val="413AE5FF"/>
    <w:lvl w:ilvl="0" w:tentative="0">
      <w:start w:val="1"/>
      <w:numFmt w:val="decimal"/>
      <w:lvlText w:val="%1."/>
      <w:lvlJc w:val="left"/>
      <w:pPr>
        <w:ind w:left="425" w:hanging="425"/>
      </w:pPr>
      <w:rPr>
        <w:rFonts w:hint="default"/>
      </w:rPr>
    </w:lvl>
    <w:lvl w:ilvl="1" w:tentative="0">
      <w:start w:val="1"/>
      <w:numFmt w:val="decimal"/>
      <w:lvlText w:val="%1.%2."/>
      <w:lvlJc w:val="left"/>
      <w:pPr>
        <w:ind w:left="1020" w:hanging="62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4948C9BB"/>
    <w:multiLevelType w:val="singleLevel"/>
    <w:tmpl w:val="4948C9BB"/>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iYTE0NjI4ZTUyNDkzOTQ2NmI4YmNiZGVhZmU0ZGIifQ=="/>
  </w:docVars>
  <w:rsids>
    <w:rsidRoot w:val="76187FDC"/>
    <w:rsid w:val="000069B6"/>
    <w:rsid w:val="0005560E"/>
    <w:rsid w:val="000F0890"/>
    <w:rsid w:val="00161C56"/>
    <w:rsid w:val="002715C7"/>
    <w:rsid w:val="002E78C6"/>
    <w:rsid w:val="002F39FB"/>
    <w:rsid w:val="00335817"/>
    <w:rsid w:val="003C18F5"/>
    <w:rsid w:val="004E7B5F"/>
    <w:rsid w:val="005B40DF"/>
    <w:rsid w:val="005C088A"/>
    <w:rsid w:val="00621EC3"/>
    <w:rsid w:val="006475C5"/>
    <w:rsid w:val="007A606A"/>
    <w:rsid w:val="007F1728"/>
    <w:rsid w:val="00820887"/>
    <w:rsid w:val="00863960"/>
    <w:rsid w:val="00922A86"/>
    <w:rsid w:val="009D2984"/>
    <w:rsid w:val="009F27FF"/>
    <w:rsid w:val="00A52BF7"/>
    <w:rsid w:val="00AA5F5B"/>
    <w:rsid w:val="00AF6543"/>
    <w:rsid w:val="00BC482F"/>
    <w:rsid w:val="00C05791"/>
    <w:rsid w:val="00C36E9C"/>
    <w:rsid w:val="00D50940"/>
    <w:rsid w:val="00DC5449"/>
    <w:rsid w:val="00E36CB6"/>
    <w:rsid w:val="00F945AF"/>
    <w:rsid w:val="00FA65A4"/>
    <w:rsid w:val="00FB2086"/>
    <w:rsid w:val="00FF46C2"/>
    <w:rsid w:val="01154EDD"/>
    <w:rsid w:val="014365AC"/>
    <w:rsid w:val="07B65CC6"/>
    <w:rsid w:val="08E437F5"/>
    <w:rsid w:val="0BA13F3D"/>
    <w:rsid w:val="0C82154D"/>
    <w:rsid w:val="0F5B319D"/>
    <w:rsid w:val="0FFE75C1"/>
    <w:rsid w:val="10A544F9"/>
    <w:rsid w:val="139A0540"/>
    <w:rsid w:val="13F736AA"/>
    <w:rsid w:val="15DB0358"/>
    <w:rsid w:val="17CF8150"/>
    <w:rsid w:val="183021DE"/>
    <w:rsid w:val="1DEC15DB"/>
    <w:rsid w:val="1F5ED170"/>
    <w:rsid w:val="1F773941"/>
    <w:rsid w:val="1FDF369B"/>
    <w:rsid w:val="1FFDB13A"/>
    <w:rsid w:val="20663A24"/>
    <w:rsid w:val="20943C19"/>
    <w:rsid w:val="210112AE"/>
    <w:rsid w:val="22235F69"/>
    <w:rsid w:val="23072E8C"/>
    <w:rsid w:val="2407220C"/>
    <w:rsid w:val="25774A36"/>
    <w:rsid w:val="26B22D46"/>
    <w:rsid w:val="27FE7A3B"/>
    <w:rsid w:val="281C2ABF"/>
    <w:rsid w:val="28976D76"/>
    <w:rsid w:val="28E44026"/>
    <w:rsid w:val="2C5129BE"/>
    <w:rsid w:val="2D5D2822"/>
    <w:rsid w:val="2D71F3EA"/>
    <w:rsid w:val="2D9A8DD8"/>
    <w:rsid w:val="2E756F9B"/>
    <w:rsid w:val="2E94485E"/>
    <w:rsid w:val="2F411FDC"/>
    <w:rsid w:val="2FDCF3CA"/>
    <w:rsid w:val="319A0963"/>
    <w:rsid w:val="324E146B"/>
    <w:rsid w:val="32C73365"/>
    <w:rsid w:val="333F61D3"/>
    <w:rsid w:val="33636834"/>
    <w:rsid w:val="3675359B"/>
    <w:rsid w:val="36EEDC64"/>
    <w:rsid w:val="36F77BF0"/>
    <w:rsid w:val="36FD498B"/>
    <w:rsid w:val="379A22BB"/>
    <w:rsid w:val="37E7664B"/>
    <w:rsid w:val="38BEB3AF"/>
    <w:rsid w:val="396FF8FC"/>
    <w:rsid w:val="3A2300B1"/>
    <w:rsid w:val="3B9A553D"/>
    <w:rsid w:val="3BBB26F4"/>
    <w:rsid w:val="3C6F3DB8"/>
    <w:rsid w:val="3D8F860B"/>
    <w:rsid w:val="3DFC93DF"/>
    <w:rsid w:val="3E827846"/>
    <w:rsid w:val="3ECF349C"/>
    <w:rsid w:val="3EFA85B5"/>
    <w:rsid w:val="3F694AB8"/>
    <w:rsid w:val="3FA961D2"/>
    <w:rsid w:val="3FAFEB9A"/>
    <w:rsid w:val="3FD02EFD"/>
    <w:rsid w:val="4037CC3D"/>
    <w:rsid w:val="42224789"/>
    <w:rsid w:val="428E1E1E"/>
    <w:rsid w:val="43630081"/>
    <w:rsid w:val="449ADDC7"/>
    <w:rsid w:val="453C3DE2"/>
    <w:rsid w:val="453E4086"/>
    <w:rsid w:val="46412126"/>
    <w:rsid w:val="47EB5B57"/>
    <w:rsid w:val="48706679"/>
    <w:rsid w:val="48BD3AA9"/>
    <w:rsid w:val="4D9E6386"/>
    <w:rsid w:val="4EE44ACB"/>
    <w:rsid w:val="4EFEA6F5"/>
    <w:rsid w:val="4F77F1DB"/>
    <w:rsid w:val="4FAAD275"/>
    <w:rsid w:val="521F3C05"/>
    <w:rsid w:val="544467E1"/>
    <w:rsid w:val="56E2F556"/>
    <w:rsid w:val="57BD3181"/>
    <w:rsid w:val="5A9F1A37"/>
    <w:rsid w:val="5B7FAEDF"/>
    <w:rsid w:val="5BA73777"/>
    <w:rsid w:val="5BF79363"/>
    <w:rsid w:val="5DBF4B58"/>
    <w:rsid w:val="5DDFDBEB"/>
    <w:rsid w:val="5F3F665A"/>
    <w:rsid w:val="5F7ACAC8"/>
    <w:rsid w:val="5F8AA963"/>
    <w:rsid w:val="5FE35DAD"/>
    <w:rsid w:val="63BF7E89"/>
    <w:rsid w:val="64AF9183"/>
    <w:rsid w:val="66D75526"/>
    <w:rsid w:val="66DFAAAF"/>
    <w:rsid w:val="67173802"/>
    <w:rsid w:val="67FE3F80"/>
    <w:rsid w:val="67FF06AB"/>
    <w:rsid w:val="684F2F3A"/>
    <w:rsid w:val="68AE77AE"/>
    <w:rsid w:val="68B73A2B"/>
    <w:rsid w:val="68D962BB"/>
    <w:rsid w:val="69467B74"/>
    <w:rsid w:val="6C8CFD71"/>
    <w:rsid w:val="6D984EF8"/>
    <w:rsid w:val="6DF7D199"/>
    <w:rsid w:val="6EFA70A9"/>
    <w:rsid w:val="6F8248BF"/>
    <w:rsid w:val="6F954413"/>
    <w:rsid w:val="6FBB999A"/>
    <w:rsid w:val="6FF93B28"/>
    <w:rsid w:val="6FFB5AD2"/>
    <w:rsid w:val="6FFCE739"/>
    <w:rsid w:val="6FFD9EC3"/>
    <w:rsid w:val="72451B8D"/>
    <w:rsid w:val="73BE7461"/>
    <w:rsid w:val="73F68D2B"/>
    <w:rsid w:val="75FF833D"/>
    <w:rsid w:val="76187FDC"/>
    <w:rsid w:val="76FE72AC"/>
    <w:rsid w:val="777ABE5F"/>
    <w:rsid w:val="77F79689"/>
    <w:rsid w:val="79B3C83B"/>
    <w:rsid w:val="79F6BDE6"/>
    <w:rsid w:val="7A37631C"/>
    <w:rsid w:val="7A77E959"/>
    <w:rsid w:val="7ABE9E2F"/>
    <w:rsid w:val="7AFC3715"/>
    <w:rsid w:val="7B27F2B4"/>
    <w:rsid w:val="7BBDA660"/>
    <w:rsid w:val="7BE60609"/>
    <w:rsid w:val="7BFF69AD"/>
    <w:rsid w:val="7BFFB683"/>
    <w:rsid w:val="7CE77CC0"/>
    <w:rsid w:val="7CF74735"/>
    <w:rsid w:val="7D3B872B"/>
    <w:rsid w:val="7D5C5B80"/>
    <w:rsid w:val="7D5F2DE0"/>
    <w:rsid w:val="7D6FB87E"/>
    <w:rsid w:val="7DF1EAF9"/>
    <w:rsid w:val="7DFAC9C6"/>
    <w:rsid w:val="7E3A1E3E"/>
    <w:rsid w:val="7E4B751D"/>
    <w:rsid w:val="7E67D9A2"/>
    <w:rsid w:val="7E7D5FAC"/>
    <w:rsid w:val="7E7DC3E2"/>
    <w:rsid w:val="7EDE93B7"/>
    <w:rsid w:val="7EFB2CD7"/>
    <w:rsid w:val="7EFCABEA"/>
    <w:rsid w:val="7F4F0361"/>
    <w:rsid w:val="7F58D3D7"/>
    <w:rsid w:val="7F5BCD56"/>
    <w:rsid w:val="7F7BF1B9"/>
    <w:rsid w:val="7FB736B7"/>
    <w:rsid w:val="7FBF8F12"/>
    <w:rsid w:val="7FBFE5F4"/>
    <w:rsid w:val="7FDF095A"/>
    <w:rsid w:val="7FEF666B"/>
    <w:rsid w:val="7FFB0D59"/>
    <w:rsid w:val="7FFD948A"/>
    <w:rsid w:val="7FFF96D1"/>
    <w:rsid w:val="7FFFF6A3"/>
    <w:rsid w:val="8EDFBE1C"/>
    <w:rsid w:val="8FBE1593"/>
    <w:rsid w:val="927B8566"/>
    <w:rsid w:val="9DEFD047"/>
    <w:rsid w:val="A3EB0354"/>
    <w:rsid w:val="A7CF38A9"/>
    <w:rsid w:val="ADFF46F2"/>
    <w:rsid w:val="AE3D21DB"/>
    <w:rsid w:val="B3E77CCE"/>
    <w:rsid w:val="B4FF01CB"/>
    <w:rsid w:val="B5FEE201"/>
    <w:rsid w:val="B5FFCD85"/>
    <w:rsid w:val="B6EBE0A0"/>
    <w:rsid w:val="B6FEDEE2"/>
    <w:rsid w:val="B77F470D"/>
    <w:rsid w:val="B7BDD78A"/>
    <w:rsid w:val="B7F7E17C"/>
    <w:rsid w:val="BBF7C372"/>
    <w:rsid w:val="BE78B17F"/>
    <w:rsid w:val="BEF7C82D"/>
    <w:rsid w:val="BEFBE703"/>
    <w:rsid w:val="BF67BA57"/>
    <w:rsid w:val="BF7A367B"/>
    <w:rsid w:val="BFBE261C"/>
    <w:rsid w:val="BFDBC4E3"/>
    <w:rsid w:val="BFEFE62F"/>
    <w:rsid w:val="BFF6373C"/>
    <w:rsid w:val="BFF73A32"/>
    <w:rsid w:val="C6FFC908"/>
    <w:rsid w:val="C77782B3"/>
    <w:rsid w:val="CDDF50CF"/>
    <w:rsid w:val="D4EC6EEC"/>
    <w:rsid w:val="D6FFCCF9"/>
    <w:rsid w:val="D9BFEC46"/>
    <w:rsid w:val="DD3576FF"/>
    <w:rsid w:val="DD6B839B"/>
    <w:rsid w:val="DF7161B5"/>
    <w:rsid w:val="DFD17713"/>
    <w:rsid w:val="DFF39682"/>
    <w:rsid w:val="DFFD6E85"/>
    <w:rsid w:val="E0ED134E"/>
    <w:rsid w:val="E6FEFAD7"/>
    <w:rsid w:val="E7BD3573"/>
    <w:rsid w:val="E7FD74CD"/>
    <w:rsid w:val="E7FF021B"/>
    <w:rsid w:val="EA5BAD18"/>
    <w:rsid w:val="EAFBB4BA"/>
    <w:rsid w:val="EBDFD23B"/>
    <w:rsid w:val="ED937D0A"/>
    <w:rsid w:val="EDD7FF4B"/>
    <w:rsid w:val="EEF765F5"/>
    <w:rsid w:val="EEF7C915"/>
    <w:rsid w:val="EFE79855"/>
    <w:rsid w:val="F2FF8546"/>
    <w:rsid w:val="F3B78EB8"/>
    <w:rsid w:val="F4EFD766"/>
    <w:rsid w:val="F52F465C"/>
    <w:rsid w:val="F5BF985F"/>
    <w:rsid w:val="F73F77CD"/>
    <w:rsid w:val="F7B506D8"/>
    <w:rsid w:val="F7DBC51F"/>
    <w:rsid w:val="F7FBA166"/>
    <w:rsid w:val="F8D5A816"/>
    <w:rsid w:val="F9BE04E7"/>
    <w:rsid w:val="F9F5410F"/>
    <w:rsid w:val="FB6FDB33"/>
    <w:rsid w:val="FB77EE00"/>
    <w:rsid w:val="FB89CFC2"/>
    <w:rsid w:val="FBBA2D3C"/>
    <w:rsid w:val="FBE1156E"/>
    <w:rsid w:val="FBF43C7C"/>
    <w:rsid w:val="FCB7987A"/>
    <w:rsid w:val="FCE7DDE6"/>
    <w:rsid w:val="FD9CA25B"/>
    <w:rsid w:val="FDB888E8"/>
    <w:rsid w:val="FE4DFA6C"/>
    <w:rsid w:val="FE7FF024"/>
    <w:rsid w:val="FEBE96DF"/>
    <w:rsid w:val="FEFDE448"/>
    <w:rsid w:val="FF5D584C"/>
    <w:rsid w:val="FF7783BD"/>
    <w:rsid w:val="FF7F7773"/>
    <w:rsid w:val="FF7FCCD5"/>
    <w:rsid w:val="FFAD24E6"/>
    <w:rsid w:val="FFBF1F16"/>
    <w:rsid w:val="FFDB313F"/>
    <w:rsid w:val="FFDB6580"/>
    <w:rsid w:val="FFDFC9B8"/>
    <w:rsid w:val="FFEE78D7"/>
    <w:rsid w:val="FFEFEC8D"/>
    <w:rsid w:val="FFFD1FA4"/>
    <w:rsid w:val="FFFFA64E"/>
    <w:rsid w:val="FFFFE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cstheme="minorBidi"/>
      <w:b/>
      <w:sz w:val="32"/>
    </w:rPr>
  </w:style>
  <w:style w:type="paragraph" w:styleId="4">
    <w:name w:val="heading 3"/>
    <w:basedOn w:val="1"/>
    <w:next w:val="1"/>
    <w:unhideWhenUsed/>
    <w:qFormat/>
    <w:uiPriority w:val="0"/>
    <w:pPr>
      <w:keepNext/>
      <w:keepLines/>
      <w:spacing w:before="260" w:after="260" w:line="413" w:lineRule="auto"/>
      <w:outlineLvl w:val="2"/>
    </w:pPr>
    <w:rPr>
      <w:rFonts w:asciiTheme="minorHAnsi" w:hAnsiTheme="minorHAnsi" w:eastAsiaTheme="minorEastAsia" w:cstheme="minorBidi"/>
      <w:b/>
      <w:sz w:val="32"/>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BodyText"/>
    <w:basedOn w:val="1"/>
    <w:qFormat/>
    <w:uiPriority w:val="0"/>
    <w:pPr>
      <w:ind w:firstLine="640"/>
      <w:textAlignment w:val="baseline"/>
    </w:pPr>
    <w:rPr>
      <w:rFonts w:ascii="Times New Roman" w:hAnsi="Times New Roman"/>
      <w:szCs w:val="22"/>
    </w:r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Normal (Web)"/>
    <w:basedOn w:val="1"/>
    <w:qFormat/>
    <w:uiPriority w:val="0"/>
    <w:pPr>
      <w:spacing w:beforeAutospacing="1" w:afterAutospacing="1"/>
    </w:pPr>
    <w:rPr>
      <w:rFonts w:ascii="Times New Roman" w:hAnsi="Times New Roman"/>
      <w:sz w:val="24"/>
    </w:rPr>
  </w:style>
  <w:style w:type="character" w:styleId="10">
    <w:name w:val="Strong"/>
    <w:basedOn w:val="9"/>
    <w:qFormat/>
    <w:uiPriority w:val="0"/>
    <w:rPr>
      <w:b/>
    </w:rPr>
  </w:style>
  <w:style w:type="character" w:styleId="11">
    <w:name w:val="Emphasis"/>
    <w:basedOn w:val="9"/>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8FAF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492</Words>
  <Characters>2810</Characters>
  <Lines>23</Lines>
  <Paragraphs>6</Paragraphs>
  <TotalTime>1</TotalTime>
  <ScaleCrop>false</ScaleCrop>
  <LinksUpToDate>false</LinksUpToDate>
  <CharactersWithSpaces>3296</CharactersWithSpaces>
  <Application>WPS Office_10.8.0.7041_F1E327BC-269C-435d-A152-05C5408002CA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2023-12-19T11:38:00Z</dcterms:created>
  <dc:creator>edy</dc:creator>
  <cp:lastModifiedBy>卢晓威</cp:lastModifiedBy>
  <dcterms:modified xsi:type="dcterms:W3CDTF">2024-01-24T17:23:08Z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2052-10.8.0.7041</vt:lpwstr>
  </property>
  <property fmtid="{D5CDD505-2E9C-101B-9397-08002B2CF9AE}" pid="3" name="ICV">
    <vt:lpwstr>CD7EF69E3C7B4ACD8296AFA61F645F1C_13</vt:lpwstr>
  </property>
</Properties>
</file>