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right="624"/>
        <w:jc w:val="left"/>
        <w:textAlignment w:val="auto"/>
        <w:rPr>
          <w:rFonts w:hint="default" w:ascii="Nimbus Roman No9 L" w:hAnsi="Nimbus Roman No9 L" w:eastAsia="黑体" w:cs="黑体"/>
          <w:color w:val="auto"/>
          <w:sz w:val="32"/>
          <w:szCs w:val="32"/>
          <w:highlight w:val="none"/>
          <w:lang w:val="zh-TW" w:eastAsia="zh-TW"/>
        </w:rPr>
      </w:pPr>
      <w:r>
        <w:rPr>
          <w:rFonts w:ascii="Nimbus Roman No9 L" w:hAnsi="Nimbus Roman No9 L" w:eastAsia="黑体" w:cs="黑体"/>
          <w:color w:val="auto"/>
          <w:sz w:val="32"/>
          <w:szCs w:val="32"/>
          <w:highlight w:val="none"/>
          <w:lang w:val="zh-TW" w:eastAsia="zh-TW"/>
        </w:rPr>
        <w:t>附件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textAlignment w:val="auto"/>
        <w:rPr>
          <w:rFonts w:hint="default" w:ascii="Nimbus Roman No9 L" w:hAnsi="Nimbus Roman No9 L" w:eastAsia="华文仿宋" w:cs="华文仿宋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jc w:val="center"/>
        <w:textAlignment w:val="auto"/>
        <w:rPr>
          <w:rFonts w:hint="default" w:ascii="Nimbus Roman No9 L" w:hAnsi="Nimbus Roman No9 L" w:eastAsia="方正小标宋简体" w:cs="方正小标宋简体"/>
          <w:color w:val="auto"/>
          <w:sz w:val="44"/>
          <w:szCs w:val="44"/>
          <w:highlight w:val="none"/>
          <w:lang w:val="zh-TW" w:eastAsia="zh-TW"/>
        </w:rPr>
      </w:pPr>
      <w:r>
        <w:rPr>
          <w:rFonts w:hint="eastAsia" w:ascii="Nimbus Roman No9 L" w:hAnsi="Nimbus Roman No9 L" w:eastAsia="Nimbus Roman No9 L" w:cs="Nimbus Roman No9 L"/>
          <w:color w:val="auto"/>
          <w:sz w:val="44"/>
          <w:szCs w:val="44"/>
          <w:highlight w:val="none"/>
          <w:lang w:eastAsia="zh-TW"/>
        </w:rPr>
        <w:t>20</w:t>
      </w:r>
      <w:r>
        <w:rPr>
          <w:rFonts w:hint="eastAsia" w:ascii="Nimbus Roman No9 L" w:hAnsi="Nimbus Roman No9 L" w:eastAsia="Nimbus Roman No9 L" w:cs="Nimbus Roman No9 L"/>
          <w:color w:val="auto"/>
          <w:sz w:val="44"/>
          <w:szCs w:val="44"/>
          <w:highlight w:val="none"/>
          <w:lang w:val="en-US" w:eastAsia="zh-CN"/>
        </w:rPr>
        <w:t>24</w:t>
      </w:r>
      <w:r>
        <w:rPr>
          <w:rFonts w:ascii="Nimbus Roman No9 L" w:hAnsi="Nimbus Roman No9 L" w:eastAsia="方正小标宋简体" w:cs="方正小标宋简体"/>
          <w:color w:val="auto"/>
          <w:sz w:val="44"/>
          <w:szCs w:val="44"/>
          <w:highlight w:val="none"/>
          <w:lang w:val="zh-TW" w:eastAsia="zh-TW"/>
        </w:rPr>
        <w:t>年天津市科学技术普及项目申报指南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</w:pPr>
      <w:r>
        <w:rPr>
          <w:rFonts w:hint="eastAsia" w:ascii="Nimbus Roman No9 L" w:hAnsi="Nimbus Roman No9 L" w:eastAsia="仿宋_GB2312" w:cs="仿宋_GB2312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为深入贯彻党的二十大精神，认真落实</w:t>
      </w:r>
      <w:r>
        <w:rPr>
          <w:rFonts w:hint="default" w:ascii="Nimbus Roman No9 L" w:hAnsi="Nimbus Roman No9 L" w:eastAsia="仿宋_GB2312" w:cs="Times New Roman"/>
          <w:color w:val="auto"/>
          <w:sz w:val="32"/>
          <w:szCs w:val="32"/>
          <w:highlight w:val="none"/>
        </w:rPr>
        <w:t>市委、市政府关于深入推进全域科普的决策部署，</w:t>
      </w:r>
      <w:r>
        <w:rPr>
          <w:rFonts w:hint="eastAsia" w:ascii="Nimbus Roman No9 L" w:hAnsi="Nimbus Roman No9 L" w:eastAsia="仿宋_GB2312" w:cs="Times New Roman"/>
          <w:color w:val="auto"/>
          <w:sz w:val="32"/>
          <w:szCs w:val="32"/>
          <w:highlight w:val="none"/>
          <w:lang w:eastAsia="zh-CN"/>
        </w:rPr>
        <w:t>按照《天津市科学技术普及条例》《天津市“十四五”时期科学技术普及发展规划》和</w:t>
      </w:r>
      <w:r>
        <w:rPr>
          <w:rFonts w:hint="eastAsia" w:ascii="Nimbus Roman No9 L" w:hAnsi="Nimbus Roman No9 L" w:eastAsia="仿宋_GB2312"/>
          <w:sz w:val="32"/>
          <w:szCs w:val="32"/>
          <w:highlight w:val="none"/>
          <w:lang w:eastAsia="zh-CN"/>
        </w:rPr>
        <w:t>《天津市关于进一步深化新时代科学技术普及工作的实施意见》</w:t>
      </w:r>
      <w:r>
        <w:rPr>
          <w:rFonts w:hint="eastAsia" w:ascii="Nimbus Roman No9 L" w:hAnsi="Nimbus Roman No9 L" w:eastAsia="仿宋_GB2312" w:cs="Times New Roman"/>
          <w:color w:val="auto"/>
          <w:sz w:val="32"/>
          <w:szCs w:val="32"/>
          <w:highlight w:val="none"/>
          <w:lang w:eastAsia="zh-CN"/>
        </w:rPr>
        <w:t>要求，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制定</w:t>
      </w: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</w:rPr>
        <w:t>20</w:t>
      </w: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val="zh-CN"/>
        </w:rPr>
        <w:t>2</w:t>
      </w:r>
      <w:r>
        <w:rPr>
          <w:rFonts w:hint="eastAsia" w:ascii="Nimbus Roman No9 L" w:hAnsi="Nimbus Roman No9 L" w:eastAsia="宋体" w:cs="Nimbus Roman No9 L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年天津市科学技术普及项目（以下简称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“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科普项目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”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）申报指南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6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zh-TW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zh-TW" w:eastAsia="zh-CN"/>
        </w:rPr>
        <w:t>一、重大科普赛事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eastAsia"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val="zh-CN"/>
        </w:rPr>
      </w:pPr>
      <w:r>
        <w:rPr>
          <w:rFonts w:hint="eastAsia"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val="zh-CN"/>
        </w:rPr>
        <w:t>专题一：天津市科普讲解大赛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zh-CN"/>
        </w:rPr>
        <w:t>1.总体目标：充分调动科技工作者、科普讲解人员、广大市民参与科学普及工作的积极性，通过大赛培养和选拔一批优秀科普讲解人才，进一步提高我市科普人才队伍素质，提升科学传播能力和水平。择优推荐市级大赛获奖选手参加国家级大赛。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zh-CN"/>
        </w:rPr>
        <w:t>2.申报条件：申报单位应具备举办天津市科普讲解大赛的能力和工作基础，能够有效动员各高校、科研院所、中小学、科普基地、科普场馆、企业专兼职讲解员及社会人士参加，并征集不少于100名参赛选手。大赛期间围绕提升选手讲解能力组织不少于5次专业化培训。在科技周等重大科普活动期间能够组织获奖选手走进学校、社区、农村等开展公益科普讲解活动。重要活动需在我市主要媒体上进行宣传报道，所开展的活动和围绕该专题开发的线上科普资源需在“科普惠”微信平台公开发布并自主完成公众参与对接。我市行政区域内的各企事业单位均可申报。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zh-CN"/>
        </w:rPr>
        <w:t>3.资助额度：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sz w:val="32"/>
          <w:szCs w:val="32"/>
          <w:highlight w:val="none"/>
          <w:lang w:val="zh-CN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zh-CN"/>
        </w:rPr>
        <w:t>万元/项，共1项。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default"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val="zh-TW" w:eastAsia="zh-TW"/>
        </w:rPr>
      </w:pPr>
      <w:r>
        <w:rPr>
          <w:rFonts w:hint="eastAsia"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val="zh-CN"/>
        </w:rPr>
        <w:t>专题二</w:t>
      </w:r>
      <w:r>
        <w:rPr>
          <w:rFonts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val="zh-CN"/>
        </w:rPr>
        <w:t>：</w:t>
      </w:r>
      <w:r>
        <w:rPr>
          <w:rFonts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val="zh-TW" w:eastAsia="zh-TW"/>
        </w:rPr>
        <w:t>天津市科普微视频大赛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</w:pP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val="zh-TW" w:eastAsia="zh-TW"/>
        </w:rPr>
        <w:t>1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.总体目标：广泛发动高校、科研院所、企业及社会力量，围绕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高新科技知识普及、科学原理展示等主题，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CN"/>
        </w:rPr>
        <w:t>制作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一批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内容科学、形式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新颖、群众喜闻乐见的科普微视频作品，在全市广泛宣传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推广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，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进一步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发挥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科普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微视频在科普传播中的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独特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作用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。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择优推荐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CN"/>
        </w:rPr>
        <w:t>市级大赛获奖作品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参加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国家级大赛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。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</w:pP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val="zh-CN" w:eastAsia="zh-TW"/>
        </w:rPr>
        <w:t>2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.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申报条件：申报单位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应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具备组织举办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天津市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科普微视频大赛的能力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和工作基础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，能够征集到不少于</w:t>
      </w: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val="zh-CN"/>
        </w:rPr>
        <w:t>100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件科普微视频作品，并组织评选出知识丰富、创意新颖、制作精良的科普微视频作品，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对其中不少于</w:t>
      </w: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部优秀作品进行系统修改提升，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  <w:t>优秀作品在公开网站、平台累计浏览人次不低于10万人次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</w:rPr>
        <w:t>。相关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活动需在我市主要媒体上进行宣传报道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</w:rPr>
        <w:t>，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所开展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的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活动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和围绕该专题开发的线上科普资源需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在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“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科普惠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”微信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平台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公开发布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并自主完成公众参与对接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。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我市行政区域内的各企事业单位均可申报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。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</w:pP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val="zh-CN" w:eastAsia="zh-TW"/>
        </w:rPr>
        <w:t>3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.资助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额度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：</w:t>
      </w: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val="zh-CN"/>
        </w:rPr>
        <w:t>2</w:t>
      </w: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CN"/>
        </w:rPr>
        <w:t>万元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/项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  <w:t>共1项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default"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val="zh-CN"/>
        </w:rPr>
        <w:t>专题</w:t>
      </w:r>
      <w:r>
        <w:rPr>
          <w:rFonts w:hint="eastAsia"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val="zh-CN"/>
        </w:rPr>
        <w:t>三</w:t>
      </w:r>
      <w:r>
        <w:rPr>
          <w:rFonts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val="zh-CN"/>
        </w:rPr>
        <w:t>：</w:t>
      </w:r>
      <w:r>
        <w:rPr>
          <w:rFonts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val="zh-TW" w:eastAsia="zh-TW"/>
        </w:rPr>
        <w:t>天津市科学实验展演</w:t>
      </w:r>
      <w:r>
        <w:rPr>
          <w:rFonts w:hint="eastAsia"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val="zh-TW" w:eastAsia="zh-CN"/>
        </w:rPr>
        <w:t>汇演活动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</w:pP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val="zh-CN" w:eastAsia="zh-TW"/>
        </w:rPr>
        <w:t>1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.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总体目标：着力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激发科技工作者、科普工作者和爱好者、广大市民创作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科普剧、科学秀、科普小品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的热情，通过大赛选拔和推广一批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科学性、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艺术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性、观赏性强的优秀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科学实验展演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作品，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进一步丰富我市科普活动表现形式、扩大社会影响。择优推荐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CN"/>
        </w:rPr>
        <w:t>市级大赛获奖作品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参加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国家级大赛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。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</w:pP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val="zh-CN" w:eastAsia="zh-TW"/>
        </w:rPr>
        <w:t>2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.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申报条件：申报单位应具备举办天津市科学实验展演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CN"/>
        </w:rPr>
        <w:t>汇演活动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的能力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和工作基础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，组织不少于</w:t>
      </w:r>
      <w:r>
        <w:rPr>
          <w:rFonts w:hint="default" w:ascii="Nimbus Roman No9 L" w:hAnsi="Nimbus Roman No9 L" w:eastAsia="Nimbus Roman No9 L" w:cs="Nimbus Roman No9 L"/>
          <w:color w:val="auto"/>
          <w:sz w:val="32"/>
          <w:szCs w:val="32"/>
          <w:highlight w:val="none"/>
          <w:lang w:val="zh-CN" w:eastAsia="zh-TW"/>
        </w:rPr>
        <w:t>20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支队伍参赛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。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能够选拔培训优秀选手，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对其中不少于</w:t>
      </w: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部优秀作品进行系统修改提升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。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在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CN"/>
        </w:rPr>
        <w:t>科技周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等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重大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科普活动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期间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组织获奖选手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在我市主要科普场馆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</w:rPr>
        <w:t>、市级科普基地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开展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CN"/>
        </w:rPr>
        <w:t>公益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展演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CN"/>
        </w:rPr>
        <w:t>活动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</w:rPr>
        <w:t>。重要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活动需在我市主要媒体上进行宣传报道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</w:rPr>
        <w:t>，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所开展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的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活动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和围绕该专题开发的线上科普资源需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在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“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科普惠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”微信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平台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公开发布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并自主完成公众参与对接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。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我市行政区域内的各企事业单位均可申报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。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val="zh-CN"/>
        </w:rPr>
        <w:t>3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.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资助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额度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：</w:t>
      </w: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val="en-US" w:eastAsia="zh-CN"/>
        </w:rPr>
        <w:t>20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CN"/>
        </w:rPr>
        <w:t>万元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/项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  <w:t>共1项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default"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eastAsia="zh-TW"/>
        </w:rPr>
      </w:pPr>
      <w:r>
        <w:rPr>
          <w:rFonts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val="zh-CN"/>
        </w:rPr>
        <w:t>专题</w:t>
      </w:r>
      <w:r>
        <w:rPr>
          <w:rFonts w:hint="eastAsia"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val="zh-CN"/>
        </w:rPr>
        <w:t>四</w:t>
      </w:r>
      <w:r>
        <w:rPr>
          <w:rFonts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val="zh-CN"/>
        </w:rPr>
        <w:t>：</w:t>
      </w:r>
      <w:r>
        <w:rPr>
          <w:rFonts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val="zh-TW" w:eastAsia="zh-TW"/>
        </w:rPr>
        <w:t>天津市</w:t>
      </w:r>
      <w:r>
        <w:rPr>
          <w:rFonts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eastAsia="zh-TW"/>
        </w:rPr>
        <w:t>优秀科普图书评选</w:t>
      </w:r>
      <w:r>
        <w:rPr>
          <w:rFonts w:hint="eastAsia"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展示</w:t>
      </w:r>
      <w:r>
        <w:rPr>
          <w:rFonts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eastAsia="zh-TW"/>
        </w:rPr>
        <w:t>活动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</w:pP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val="zh-CN" w:eastAsia="zh-TW"/>
        </w:rPr>
        <w:t>1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.总体目标：组织评选一批科学性、知识性、通俗性、趣味性强的优秀科普图书，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CN"/>
        </w:rPr>
        <w:t>面向社会广泛推介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，为加快普及科学知识、倡导科学方法、传播科学思想、弘扬科学精神创造条件。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</w:pP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val="zh-CN" w:eastAsia="zh-TW"/>
        </w:rPr>
        <w:t>2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.申报条件：申报单位应具备组织天津市优秀科普图书评选活动的能力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和工作基础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，能够征集不少于</w:t>
      </w:r>
      <w:r>
        <w:rPr>
          <w:rFonts w:hint="default" w:ascii="Nimbus Roman No9 L" w:hAnsi="Nimbus Roman No9 L" w:eastAsia="Nimbus Roman No9 L" w:cs="Nimbus Roman No9 L"/>
          <w:color w:val="auto"/>
          <w:sz w:val="32"/>
          <w:szCs w:val="32"/>
          <w:highlight w:val="none"/>
          <w:lang w:val="zh-CN" w:eastAsia="zh-TW"/>
        </w:rPr>
        <w:t>30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部我市出版社出版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  <w:t>或我市市民创作已出版发行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的原创科普图书，并组织专家评选出</w:t>
      </w: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val="zh-CN" w:eastAsia="zh-TW"/>
        </w:rPr>
        <w:t>10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部优秀科普图书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。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在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CN"/>
        </w:rPr>
        <w:t>科技周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等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重大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科普活动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期间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，面向广大市民开展优秀科普图书推介及公益推广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CN"/>
        </w:rPr>
        <w:t>；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结合科普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CN"/>
        </w:rPr>
        <w:t>帮扶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任务，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面向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CN"/>
        </w:rPr>
        <w:t>甘肃、西藏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等对口帮扶地区开展科普图书捐赠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CN"/>
        </w:rPr>
        <w:t>；结合“双减”工作，面向中小学开展科普图书推广。组织活动不少于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  <w:t>3次，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科普图书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公益推广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总量不低于</w:t>
      </w: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val="zh-CN" w:eastAsia="zh-TW"/>
        </w:rPr>
        <w:t>1000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本。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所开展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的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活动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和围绕该专题开发的线上科普资源需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在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“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科普惠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”微信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平台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公开发布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并自主完成公众参与对接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。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我市行政区域内的各企事业单位均可申报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。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val="zh-CN" w:eastAsia="zh-TW"/>
        </w:rPr>
        <w:t>3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.资助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额度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：</w:t>
      </w: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val="zh-CN"/>
        </w:rPr>
        <w:t>1</w:t>
      </w:r>
      <w:r>
        <w:rPr>
          <w:rFonts w:hint="eastAsia" w:ascii="Nimbus Roman No9 L" w:hAnsi="Nimbus Roman No9 L" w:eastAsia="宋体" w:cs="Nimbus Roman No9 L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CN"/>
        </w:rPr>
        <w:t>万元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/项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  <w:t>共1项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6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zh-TW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zh-TW" w:eastAsia="zh-CN"/>
        </w:rPr>
        <w:t>二、青少年科学教育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eastAsia"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val="zh-CN"/>
        </w:rPr>
        <w:t>专题五</w:t>
      </w:r>
      <w:r>
        <w:rPr>
          <w:rFonts w:hint="eastAsia"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：青少年科学教育助力行动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</w:pP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val="zh-CN" w:eastAsia="zh-TW"/>
        </w:rPr>
        <w:t>1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.总体目标：</w:t>
      </w:r>
      <w:r>
        <w:rPr>
          <w:rFonts w:hint="eastAsia" w:ascii="Nimbus Roman No9 L" w:hAnsi="Nimbus Roman No9 L" w:eastAsia="仿宋_GB2312" w:cs="仿宋_GB2312"/>
          <w:sz w:val="32"/>
          <w:szCs w:val="32"/>
          <w:highlight w:val="none"/>
          <w:lang w:eastAsia="zh-CN"/>
        </w:rPr>
        <w:t>发挥科学普及在青少年科学教育中的资源优势，开发线上科普资源汇集平台，绘制线上科普地图，组织科普资源与中小学对接活动，为提升青少年科学素养，培育科学精神提供有力支撑。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default"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val="zh-CN" w:eastAsia="zh-TW"/>
        </w:rPr>
        <w:t>2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.申报条件：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CN"/>
        </w:rPr>
        <w:t>申报单位应具备丰富全市科普工作组织管理经验，能够掌握我市优质科普资源分布情况，系统</w:t>
      </w:r>
      <w:r>
        <w:rPr>
          <w:rFonts w:hint="eastAsia" w:ascii="Nimbus Roman No9 L" w:hAnsi="Nimbus Roman No9 L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挖掘梳理我市优秀科学教育课程资源，搭建1个线上科普资源汇集平台，绘制1个线上科普地图；通过点亮科学地标线上打卡、科学手抄报、科普征文等活动形式，面向全市不少于200所中小学广泛推介；组织1场“科普走进校园 科学筑梦未来”科普资源对接活动。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val="zh-CN" w:eastAsia="zh-TW"/>
        </w:rPr>
        <w:t>3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.资助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额度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：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val="zh-CN"/>
        </w:rPr>
        <w:t>0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CN"/>
        </w:rPr>
        <w:t>万元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/项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  <w:t>共1项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eastAsia"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val="zh-CN" w:eastAsia="zh-CN"/>
        </w:rPr>
        <w:t>专题六：“科普之旅 科学之光”</w:t>
      </w:r>
      <w:r>
        <w:rPr>
          <w:rFonts w:hint="eastAsia"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科普研学路线开发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  <w:t>1.总体目标：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  <w:t>系统梳理挖掘天津市科普基地资源，打造特色科普基地集群，设计符合中小学科学教育需求的研学路线和相应课程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  <w:t>并面向中小学生公益推广，为青少年科学教育提供更具系统性、趣味性的选择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  <w:t>2.申报条件：申报单位应具备丰富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  <w:t>的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  <w:t>全市科普工作组织经验，能够掌握我市优质科普资源分布情况，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  <w:t>能够联动不少于10家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  <w:t>天津市科普基地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  <w:t>特色点位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  <w:t>开发不少于3条科普研学路线和相应课程，选择不少于1条路线，组织我市不少于100名中小学生，开展不少于2期、每期不少于2天的“科普之旅 科学之光”主题公益科普研学活动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  <w:t>3.资助额度：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  <w:t>0万元/项，共1项。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default"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val="zh-CN"/>
        </w:rPr>
        <w:t>专题</w:t>
      </w:r>
      <w:r>
        <w:rPr>
          <w:rFonts w:hint="eastAsia"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val="zh-CN"/>
        </w:rPr>
        <w:t>七</w:t>
      </w:r>
      <w:r>
        <w:rPr>
          <w:rFonts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val="zh-CN"/>
        </w:rPr>
        <w:t>：</w:t>
      </w:r>
      <w:r>
        <w:rPr>
          <w:rFonts w:hint="eastAsia"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青少年科学探究实验室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</w:pP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val="zh-CN" w:eastAsia="zh-TW"/>
        </w:rPr>
        <w:t>1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.总体目标：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  <w:t>搭建面向中小学生的青少年科学探究实验室，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开发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  <w:t>青少年科学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实验室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  <w:t>课程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，设计场景式、体验式、探究式的科学实验活动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CN"/>
        </w:rPr>
        <w:t>，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让青少年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CN"/>
        </w:rPr>
        <w:t>参与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观察、体验、实践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CN"/>
        </w:rPr>
        <w:t>、总结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等科学探索的全过程，在体验式、探究式学习过程中激发对科学探究的好奇心和兴趣，掌握科学探究的思维过程与能力。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</w:pP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val="zh-CN" w:eastAsia="zh-TW"/>
        </w:rPr>
        <w:t>2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.申报条件：申报单位应具备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  <w:t>实验室建设、科学探究课程开发设计、专业师资配备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等能力和基础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  <w:t>条件，实验室已建成稳定运营2年以上，具备完整课程体系，2名及以上专职科学教师，近两年每年接待青少年500人次以上。项目执行期内，应完成一套不少于20课时的系列科学实验课程资源及配套实验器材，面向不少于10所中小学、社区开展公益实验探究活动，参与人次不低于1000人次，项目形成的实验课程市科技局有权用于公益推广、使用。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CN"/>
        </w:rPr>
        <w:t>本专题限天津市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CN"/>
        </w:rPr>
        <w:t>科普基地依托单位申报，鼓励科普基地与中小学校联合申报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。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eastAsia="zh-TW"/>
        </w:rPr>
        <w:t>3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.资助额度：</w:t>
      </w: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  <w:t>万元/项。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</w:pPr>
      <w:r>
        <w:rPr>
          <w:rFonts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val="zh-TW" w:eastAsia="zh-TW"/>
        </w:rPr>
        <w:t>专题</w:t>
      </w:r>
      <w:r>
        <w:rPr>
          <w:rFonts w:hint="eastAsia"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val="zh-TW" w:eastAsia="zh-CN"/>
        </w:rPr>
        <w:t>八</w:t>
      </w:r>
      <w:r>
        <w:rPr>
          <w:rFonts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val="zh-TW" w:eastAsia="zh-TW"/>
        </w:rPr>
        <w:t>：</w:t>
      </w:r>
      <w:r>
        <w:rPr>
          <w:rFonts w:hint="eastAsia"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val="zh-TW" w:eastAsia="zh-CN"/>
        </w:rPr>
        <w:t>青少年</w:t>
      </w:r>
      <w:r>
        <w:rPr>
          <w:rFonts w:hint="eastAsia"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val="zh-TW" w:eastAsia="zh-TW"/>
        </w:rPr>
        <w:t>科普</w:t>
      </w:r>
      <w:r>
        <w:rPr>
          <w:rFonts w:hint="eastAsia"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val="zh-TW" w:eastAsia="zh-CN"/>
        </w:rPr>
        <w:t>产品</w:t>
      </w:r>
      <w:r>
        <w:rPr>
          <w:rFonts w:hint="eastAsia"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val="zh-TW" w:eastAsia="zh-TW"/>
        </w:rPr>
        <w:t>开发及推广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</w:pP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val="zh-TW" w:eastAsia="zh-TW"/>
        </w:rPr>
        <w:t>1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.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总体目标：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CN"/>
        </w:rPr>
        <w:t>聚焦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人工智能、航空航天、防灾减灾、生态环保等重点领域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CN"/>
        </w:rPr>
        <w:t>以及基础科学知识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，开展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CN"/>
        </w:rPr>
        <w:t>科学教育课程资源包、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科普展教用品、智能体验设备等科普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CN"/>
        </w:rPr>
        <w:t>产品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开发。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</w:pP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val="zh-TW" w:eastAsia="zh-TW"/>
        </w:rPr>
        <w:t>2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.申报条件：申报单位应具备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CN"/>
        </w:rPr>
        <w:t>青少年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科普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CN"/>
        </w:rPr>
        <w:t>产品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开发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能力和工作基础，申报时须列出详细的开发方案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。科普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CN"/>
        </w:rPr>
        <w:t>产品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须主题明确、科学内涵丰富、通俗易懂，突出原创性、科学性、实用性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CN"/>
        </w:rPr>
        <w:t>，课程资源类产品应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不少于20课时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CN"/>
        </w:rPr>
        <w:t>。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研发完成后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能够在国家和市级重大科普活动或展会上进行成果展示，并深入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不少于</w:t>
      </w: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val="zh-TW" w:eastAsia="zh-TW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TW" w:eastAsia="zh-CN"/>
        </w:rPr>
        <w:t>所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学校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、社区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或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CN"/>
        </w:rPr>
        <w:t>村镇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等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开展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科普知识宣传和产品体验活动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。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所开展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的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活动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和围绕该专题开发的线上科普资源需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在“科普惠”微信平台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公开发布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并自主完成公众参与对接。科普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资源推广需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标注“天津市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科技局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科学技术普及项目”字样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CN"/>
        </w:rPr>
        <w:t>，形成的线上资源市科技局可免费公益使用。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我市行政区域内的各企事业单位均可申报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CN"/>
        </w:rPr>
        <w:t>，优先支持具有产业化能力的项目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0"/>
        <w:jc w:val="both"/>
        <w:textAlignment w:val="auto"/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</w:pP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val="zh-TW" w:eastAsia="zh-TW"/>
        </w:rPr>
        <w:t>3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.资助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额度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：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万元/项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。同等条件下优先支持匹配自筹资金的申报单位，匹配金额不限。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eastAsia"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val="zh-CN" w:eastAsia="zh-CN"/>
        </w:rPr>
      </w:pPr>
      <w:r>
        <w:rPr>
          <w:rFonts w:hint="eastAsia"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val="zh-CN" w:eastAsia="zh-CN"/>
        </w:rPr>
        <w:t>专题九：中小学校园科普活动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wordWrap/>
        <w:autoSpaceDE/>
        <w:autoSpaceDN/>
        <w:bidi w:val="0"/>
        <w:spacing w:line="560" w:lineRule="exact"/>
        <w:textAlignment w:val="auto"/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</w:pPr>
      <w:r>
        <w:rPr>
          <w:rFonts w:hint="eastAsia" w:ascii="Nimbus Roman No9 L" w:hAnsi="Nimbus Roman No9 L" w:eastAsia="宋体" w:cs="Nimbus Roman No9 L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default" w:ascii="Nimbus Roman No9 L" w:hAnsi="Nimbus Roman No9 L" w:eastAsia="Nimbus Roman No9 L" w:cs="Nimbus Roman No9 L"/>
          <w:color w:val="auto"/>
          <w:sz w:val="32"/>
          <w:szCs w:val="32"/>
          <w:highlight w:val="none"/>
          <w:lang w:eastAsia="zh-TW"/>
        </w:rPr>
        <w:t>1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.总体目标：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CN"/>
        </w:rPr>
        <w:t>聚焦中小学科学教育需求，组织面向中小学生的校园科普活动，通过科普活动培养和引导中小学生的科学兴趣，增强中小学生对新知识的渴望和对未知领域的探索，激发他们的好奇心、想象力、探求欲。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wordWrap/>
        <w:autoSpaceDE/>
        <w:autoSpaceDN/>
        <w:bidi w:val="0"/>
        <w:spacing w:line="560" w:lineRule="exact"/>
        <w:ind w:firstLine="604"/>
        <w:textAlignment w:val="auto"/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Nimbus Roman No9 L" w:hAnsi="Nimbus Roman No9 L" w:eastAsia="Nimbus Roman No9 L" w:cs="Nimbus Roman No9 L"/>
          <w:color w:val="auto"/>
          <w:sz w:val="32"/>
          <w:szCs w:val="32"/>
          <w:highlight w:val="none"/>
          <w:lang w:eastAsia="zh-TW"/>
        </w:rPr>
        <w:t>2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.申报条件：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CN"/>
        </w:rPr>
        <w:t>申报单位应为天津市范围内中小学校，通过组织校园科技周、科普秀、科普讲座、科普赛事等科普活动，培养和引导中小学生的科学兴趣。活动应覆盖全校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  <w:t>80%以上学生，参与人次不低于1000人次，鼓励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CN"/>
        </w:rPr>
        <w:t>学校与天津市科普基地联合申报，鼓励多所学校联合申报。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wordWrap/>
        <w:autoSpaceDE/>
        <w:autoSpaceDN/>
        <w:bidi w:val="0"/>
        <w:spacing w:line="560" w:lineRule="exact"/>
        <w:ind w:firstLine="604"/>
        <w:textAlignment w:val="auto"/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</w:pP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</w:rPr>
        <w:t>3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.资助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</w:rPr>
        <w:t>额度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：</w:t>
      </w:r>
      <w:r>
        <w:rPr>
          <w:rFonts w:hint="default" w:ascii="Nimbus Roman No9 L" w:hAnsi="Nimbus Roman No9 L" w:eastAsia="Nimbus Roman No9 L" w:cs="Nimbus Roman No9 L"/>
          <w:color w:val="auto"/>
          <w:sz w:val="32"/>
          <w:szCs w:val="32"/>
          <w:highlight w:val="none"/>
        </w:rPr>
        <w:t>3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</w:rPr>
        <w:t>万元/项。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6" w:firstLineChars="200"/>
        <w:textAlignment w:val="auto"/>
        <w:rPr>
          <w:rFonts w:hint="default" w:ascii="黑体" w:hAnsi="黑体" w:eastAsia="黑体" w:cs="黑体"/>
          <w:color w:val="auto"/>
          <w:sz w:val="32"/>
          <w:szCs w:val="32"/>
          <w:highlight w:val="none"/>
          <w:lang w:val="zh-TW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zh-TW" w:eastAsia="zh-CN"/>
        </w:rPr>
        <w:t>三、</w:t>
      </w:r>
      <w:r>
        <w:rPr>
          <w:rFonts w:hint="default" w:ascii="黑体" w:hAnsi="黑体" w:eastAsia="黑体" w:cs="黑体"/>
          <w:color w:val="auto"/>
          <w:sz w:val="32"/>
          <w:szCs w:val="32"/>
          <w:highlight w:val="none"/>
          <w:lang w:val="zh-TW" w:eastAsia="zh-CN"/>
        </w:rPr>
        <w:t>科普效能提升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default"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专题</w:t>
      </w:r>
      <w:r>
        <w:rPr>
          <w:rFonts w:hint="eastAsia"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十</w:t>
      </w:r>
      <w:r>
        <w:rPr>
          <w:rFonts w:hint="default"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：天津市科普管理效能提升专项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</w:rPr>
      </w:pP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</w:rPr>
        <w:t>1.总体目标：面向全市组织开展科普数据统计调查，内容包括我市科普人员、科普场地、科普经费、科普传媒、科普活动等科普工作投入产出情况，根据统计数据编制分析报告，提出进一步提升我市科普管理效能的对策建议，为制定和完善科普政策提供参考和依据。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CN"/>
        </w:rPr>
        <w:t>面向全市组织科普培训交流研讨活动，提升科普工作覆盖面和影响力。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</w:rPr>
      </w:pP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</w:rPr>
        <w:t>2.申报条件：申报单位应具备组织全市科普数据统计调查的工作基础，能够面向市区级两级有关部门及其直属事业单位、社会团体、科普基地等开展统计，及时对数据进行对比分析，形成统计报告；组织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CN"/>
        </w:rPr>
        <w:t>不少于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  <w:t>2场科普培训交流研讨活动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</w:rPr>
        <w:t>，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CN"/>
        </w:rPr>
        <w:t>参与单位总数不少于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  <w:t>100家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</w:rPr>
        <w:t>。我市行政区域内的各企事业单位均可申报。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</w:rPr>
      </w:pP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</w:rPr>
        <w:t>3.资助额度：20万元/项，共1项。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default"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</w:rPr>
        <w:t>专题</w:t>
      </w:r>
      <w:r>
        <w:rPr>
          <w:rFonts w:hint="eastAsia"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十一</w:t>
      </w:r>
      <w:r>
        <w:rPr>
          <w:rFonts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</w:rPr>
        <w:t>：科普基地服务能力建设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</w:rPr>
        <w:t>1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.总体目标：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</w:rPr>
        <w:t>支持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CN"/>
        </w:rPr>
        <w:t>市级科普基地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</w:rPr>
        <w:t>开展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CN"/>
        </w:rPr>
        <w:t>科普基地传统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</w:rPr>
        <w:t>展陈改造提升、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CN"/>
        </w:rPr>
        <w:t>互动体验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</w:rPr>
        <w:t>展项开发、科普基础设施提升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CN"/>
        </w:rPr>
        <w:t>，或结合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基地特色资源，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CN"/>
        </w:rPr>
        <w:t>支撑服务青少年科学教育，组织大型特色科普活动等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，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CN"/>
        </w:rPr>
        <w:t>进一步提升市级科普基地科普服务能力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</w:pP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eastAsia="zh-TW"/>
        </w:rPr>
        <w:t>2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.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申报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条件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：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申报时需提出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CN"/>
        </w:rPr>
        <w:t>详细的科普服务能力提升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方案，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CN"/>
        </w:rPr>
        <w:t>明确项目效果预期。项目执行期内，基地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  <w:t>年度开展科普活动不少于</w:t>
      </w: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  <w:t>次，线下参与人次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不低于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  <w:t>1000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人次；面向我市及对口帮扶地区开展不少于</w:t>
      </w:r>
      <w:r>
        <w:rPr>
          <w:rFonts w:hint="default" w:ascii="Nimbus Roman No9 L" w:hAnsi="Nimbus Roman No9 L" w:eastAsia="Nimbus Roman No9 L" w:cs="Nimbus Roman No9 L"/>
          <w:color w:val="auto"/>
          <w:sz w:val="32"/>
          <w:szCs w:val="32"/>
          <w:highlight w:val="none"/>
          <w:lang w:eastAsia="zh-TW"/>
        </w:rPr>
        <w:t>3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次远程科普公益讲堂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CN"/>
        </w:rPr>
        <w:t>；结合“双减”工作要求，积极参与中小学课后服务工作，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辐射推广不少于</w:t>
      </w:r>
      <w:r>
        <w:rPr>
          <w:rFonts w:hint="default" w:ascii="Nimbus Roman No9 L" w:hAnsi="Nimbus Roman No9 L" w:eastAsia="Nimbus Roman No9 L" w:cs="Nimbus Roman No9 L"/>
          <w:color w:val="auto"/>
          <w:sz w:val="32"/>
          <w:szCs w:val="32"/>
          <w:highlight w:val="none"/>
          <w:lang w:eastAsia="zh-TW"/>
        </w:rPr>
        <w:t>5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CN"/>
        </w:rPr>
        <w:t>所中小学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。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所开展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的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活动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和围绕该专题开发的线上科普资源需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在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“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科普惠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”微信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平台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公开发布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并自主完成公众参与对接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。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</w:rPr>
        <w:t>本专题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仅限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天津市科普基地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依托单位申报。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CN"/>
        </w:rPr>
      </w:pP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eastAsia="zh-TW"/>
        </w:rPr>
        <w:t>3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.资助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额度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：</w:t>
      </w: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万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元/项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。同等条件下优先支持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CN"/>
        </w:rPr>
        <w:t>在本年度科普基地评估工作中评估结果为“优秀”，以及能够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匹配自筹资金的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CN"/>
        </w:rPr>
        <w:t>科普基地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CN"/>
        </w:rPr>
        <w:t>。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eastAsia"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val="zh-TW" w:eastAsia="zh-TW"/>
        </w:rPr>
      </w:pPr>
      <w:r>
        <w:rPr>
          <w:rFonts w:hint="eastAsia"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val="zh-TW" w:eastAsia="zh-TW"/>
        </w:rPr>
        <w:t>专题十</w:t>
      </w:r>
      <w:r>
        <w:rPr>
          <w:rFonts w:hint="eastAsia"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val="zh-TW" w:eastAsia="zh-CN"/>
        </w:rPr>
        <w:t>二</w:t>
      </w:r>
      <w:r>
        <w:rPr>
          <w:rFonts w:hint="eastAsia"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val="zh-TW" w:eastAsia="zh-TW"/>
        </w:rPr>
        <w:t>：新时代科普理论研究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eastAsia" w:ascii="Nimbus Roman No9 L" w:hAnsi="Nimbus Roman No9 L" w:eastAsia="仿宋_GB2312" w:cs="仿宋_GB2312"/>
          <w:b w:val="0"/>
          <w:bCs w:val="0"/>
          <w:color w:val="auto"/>
          <w:sz w:val="32"/>
          <w:szCs w:val="32"/>
          <w:highlight w:val="none"/>
          <w:lang w:val="zh-TW" w:eastAsia="zh-TW"/>
        </w:rPr>
      </w:pPr>
      <w:r>
        <w:rPr>
          <w:rFonts w:hint="eastAsia" w:ascii="Nimbus Roman No9 L" w:hAnsi="Nimbus Roman No9 L" w:eastAsia="仿宋_GB2312" w:cs="仿宋_GB2312"/>
          <w:b w:val="0"/>
          <w:bCs w:val="0"/>
          <w:color w:val="auto"/>
          <w:sz w:val="32"/>
          <w:szCs w:val="32"/>
          <w:highlight w:val="none"/>
          <w:lang w:val="zh-TW" w:eastAsia="zh-TW"/>
        </w:rPr>
        <w:t>1.总体目标：围绕中央</w:t>
      </w:r>
      <w:r>
        <w:rPr>
          <w:rFonts w:hint="eastAsia" w:ascii="Nimbus Roman No9 L" w:hAnsi="Nimbus Roman No9 L" w:eastAsia="仿宋_GB2312" w:cs="仿宋_GB2312"/>
          <w:b w:val="0"/>
          <w:bCs w:val="0"/>
          <w:color w:val="auto"/>
          <w:sz w:val="32"/>
          <w:szCs w:val="32"/>
          <w:highlight w:val="none"/>
          <w:lang w:val="zh-TW" w:eastAsia="zh-CN"/>
        </w:rPr>
        <w:t>和我市</w:t>
      </w:r>
      <w:r>
        <w:rPr>
          <w:rFonts w:hint="eastAsia" w:ascii="Nimbus Roman No9 L" w:hAnsi="Nimbus Roman No9 L" w:eastAsia="仿宋_GB2312" w:cs="仿宋_GB2312"/>
          <w:b w:val="0"/>
          <w:bCs w:val="0"/>
          <w:color w:val="auto"/>
          <w:sz w:val="32"/>
          <w:szCs w:val="32"/>
          <w:highlight w:val="none"/>
          <w:lang w:val="zh-TW" w:eastAsia="zh-TW"/>
        </w:rPr>
        <w:t>关于加强新时代科普工作的重要部署，结合我市高质量发展和科技自立自强对科普工作的新定位新要求，着眼科普事业长期健康发展，开展科普载体建设、科普传播体系构建、科技资源科普化、科普产业培育、科普激励机制等5方面科普理论研究，形成新时代加强我市科学技术普及工作的政策建议。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eastAsia" w:ascii="Nimbus Roman No9 L" w:hAnsi="Nimbus Roman No9 L" w:eastAsia="仿宋_GB2312" w:cs="仿宋_GB2312"/>
          <w:b w:val="0"/>
          <w:bCs w:val="0"/>
          <w:color w:val="auto"/>
          <w:sz w:val="32"/>
          <w:szCs w:val="32"/>
          <w:highlight w:val="none"/>
          <w:lang w:val="zh-TW" w:eastAsia="zh-TW"/>
        </w:rPr>
      </w:pPr>
      <w:r>
        <w:rPr>
          <w:rFonts w:hint="eastAsia" w:ascii="Nimbus Roman No9 L" w:hAnsi="Nimbus Roman No9 L" w:eastAsia="仿宋_GB2312" w:cs="仿宋_GB2312"/>
          <w:b w:val="0"/>
          <w:bCs w:val="0"/>
          <w:color w:val="auto"/>
          <w:sz w:val="32"/>
          <w:szCs w:val="32"/>
          <w:highlight w:val="none"/>
          <w:lang w:val="zh-TW" w:eastAsia="zh-TW"/>
        </w:rPr>
        <w:t>2.申报条件：申报单位应具备丰富的科普理论研究经验，提出过相关科普政策建议并被政府部门采纳</w:t>
      </w:r>
      <w:r>
        <w:rPr>
          <w:rFonts w:hint="eastAsia" w:ascii="Nimbus Roman No9 L" w:hAnsi="Nimbus Roman No9 L" w:eastAsia="仿宋_GB2312" w:cs="仿宋_GB2312"/>
          <w:b w:val="0"/>
          <w:bCs w:val="0"/>
          <w:color w:val="auto"/>
          <w:sz w:val="32"/>
          <w:szCs w:val="32"/>
          <w:highlight w:val="none"/>
          <w:lang w:val="zh-TW" w:eastAsia="zh-CN"/>
        </w:rPr>
        <w:t>（须提供成果采纳证明）</w:t>
      </w:r>
      <w:r>
        <w:rPr>
          <w:rFonts w:hint="eastAsia" w:ascii="Nimbus Roman No9 L" w:hAnsi="Nimbus Roman No9 L" w:eastAsia="仿宋_GB2312" w:cs="仿宋_GB2312"/>
          <w:b w:val="0"/>
          <w:bCs w:val="0"/>
          <w:color w:val="auto"/>
          <w:sz w:val="32"/>
          <w:szCs w:val="32"/>
          <w:highlight w:val="none"/>
          <w:lang w:val="zh-TW" w:eastAsia="zh-TW"/>
        </w:rPr>
        <w:t>。围绕</w:t>
      </w:r>
      <w:r>
        <w:rPr>
          <w:rFonts w:hint="eastAsia" w:ascii="Nimbus Roman No9 L" w:hAnsi="Nimbus Roman No9 L" w:eastAsia="仿宋_GB2312" w:cs="仿宋_GB2312"/>
          <w:b w:val="0"/>
          <w:bCs w:val="0"/>
          <w:color w:val="auto"/>
          <w:sz w:val="32"/>
          <w:szCs w:val="32"/>
          <w:highlight w:val="none"/>
          <w:lang w:val="zh-TW" w:eastAsia="zh-CN"/>
        </w:rPr>
        <w:t>课题</w:t>
      </w:r>
      <w:r>
        <w:rPr>
          <w:rFonts w:hint="eastAsia" w:ascii="Nimbus Roman No9 L" w:hAnsi="Nimbus Roman No9 L" w:eastAsia="仿宋_GB2312" w:cs="仿宋_GB2312"/>
          <w:b w:val="0"/>
          <w:bCs w:val="0"/>
          <w:color w:val="auto"/>
          <w:sz w:val="32"/>
          <w:szCs w:val="32"/>
          <w:highlight w:val="none"/>
          <w:lang w:val="zh-TW" w:eastAsia="zh-TW"/>
        </w:rPr>
        <w:t>，开展不少于3次专题调研，组织召开不少于2次专家研讨会议，充分借鉴国内外先进经验，结合我市实际情况，提出新时代加强我市科学技术普及工作的政策建议报告，须发表一篇以上学术论文。我市行政区域内的各企事业单位均可申报</w:t>
      </w:r>
      <w:r>
        <w:rPr>
          <w:rFonts w:hint="eastAsia" w:ascii="Nimbus Roman No9 L" w:hAnsi="Nimbus Roman No9 L" w:eastAsia="仿宋_GB2312" w:cs="仿宋_GB2312"/>
          <w:b w:val="0"/>
          <w:bCs w:val="0"/>
          <w:color w:val="auto"/>
          <w:sz w:val="32"/>
          <w:szCs w:val="32"/>
          <w:highlight w:val="none"/>
          <w:lang w:val="zh-TW" w:eastAsia="zh-CN"/>
        </w:rPr>
        <w:t>，同等条件下优先支持科技智库依托单位</w:t>
      </w:r>
      <w:r>
        <w:rPr>
          <w:rFonts w:hint="eastAsia" w:ascii="Nimbus Roman No9 L" w:hAnsi="Nimbus Roman No9 L" w:eastAsia="仿宋_GB2312" w:cs="仿宋_GB2312"/>
          <w:b w:val="0"/>
          <w:bCs w:val="0"/>
          <w:color w:val="auto"/>
          <w:sz w:val="32"/>
          <w:szCs w:val="32"/>
          <w:highlight w:val="none"/>
          <w:lang w:val="zh-TW" w:eastAsia="zh-TW"/>
        </w:rPr>
        <w:t>。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eastAsia" w:ascii="Nimbus Roman No9 L" w:hAnsi="Nimbus Roman No9 L" w:eastAsia="仿宋_GB2312" w:cs="仿宋_GB2312"/>
          <w:b w:val="0"/>
          <w:bCs w:val="0"/>
          <w:color w:val="auto"/>
          <w:sz w:val="32"/>
          <w:szCs w:val="32"/>
          <w:highlight w:val="none"/>
          <w:lang w:val="zh-TW" w:eastAsia="zh-CN"/>
        </w:rPr>
      </w:pPr>
      <w:r>
        <w:rPr>
          <w:rFonts w:hint="eastAsia" w:ascii="Nimbus Roman No9 L" w:hAnsi="Nimbus Roman No9 L" w:eastAsia="仿宋_GB2312" w:cs="仿宋_GB2312"/>
          <w:b w:val="0"/>
          <w:bCs w:val="0"/>
          <w:color w:val="auto"/>
          <w:sz w:val="32"/>
          <w:szCs w:val="32"/>
          <w:highlight w:val="none"/>
          <w:lang w:val="zh-TW" w:eastAsia="zh-TW"/>
        </w:rPr>
        <w:t>3.资助额度：3万元/项</w:t>
      </w:r>
      <w:r>
        <w:rPr>
          <w:rFonts w:hint="eastAsia" w:ascii="Nimbus Roman No9 L" w:hAnsi="Nimbus Roman No9 L" w:eastAsia="仿宋_GB2312" w:cs="仿宋_GB2312"/>
          <w:b w:val="0"/>
          <w:bCs w:val="0"/>
          <w:color w:val="auto"/>
          <w:sz w:val="32"/>
          <w:szCs w:val="32"/>
          <w:highlight w:val="none"/>
          <w:lang w:val="zh-TW" w:eastAsia="zh-CN"/>
        </w:rPr>
        <w:t>。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zh-TW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zh-TW" w:eastAsia="zh-CN"/>
        </w:rPr>
        <w:t>四、科技资源科普化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eastAsia"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val="zh-TW" w:eastAsia="zh-TW"/>
        </w:rPr>
      </w:pPr>
      <w:r>
        <w:rPr>
          <w:rFonts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val="zh-TW" w:eastAsia="zh-TW"/>
        </w:rPr>
        <w:t>专题</w:t>
      </w:r>
      <w:r>
        <w:rPr>
          <w:rFonts w:hint="eastAsia"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val="zh-TW" w:eastAsia="zh-CN"/>
        </w:rPr>
        <w:t>十三</w:t>
      </w:r>
      <w:r>
        <w:rPr>
          <w:rFonts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val="zh-TW" w:eastAsia="zh-TW"/>
        </w:rPr>
        <w:t>：</w:t>
      </w:r>
      <w:r>
        <w:rPr>
          <w:rFonts w:hint="eastAsia"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val="zh-TW" w:eastAsia="zh-TW"/>
        </w:rPr>
        <w:t>天津市重大科技成果科普化示范项目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</w:pP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val="zh-TW" w:eastAsia="zh-TW"/>
        </w:rPr>
        <w:t>1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.总体目标：推动我市重大科技成果科普化，将科技成果包含的知识、思想、方法、主要突破和实现意义等，向社会公众介绍推广，提高科技创新成果的普及程度。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</w:pP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val="zh-TW" w:eastAsia="zh-TW"/>
        </w:rPr>
        <w:t>2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.申报条件：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重点支持</w:t>
      </w: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val="zh-TW" w:eastAsia="zh-TW"/>
        </w:rPr>
        <w:t>20</w:t>
      </w: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至</w:t>
      </w: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val="zh-TW" w:eastAsia="zh-TW"/>
        </w:rPr>
        <w:t>202</w:t>
      </w:r>
      <w:r>
        <w:rPr>
          <w:rFonts w:hint="eastAsia" w:ascii="Nimbus Roman No9 L" w:hAnsi="Nimbus Roman No9 L" w:eastAsia="宋体" w:cs="Nimbus Roman No9 L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年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CN"/>
        </w:rPr>
        <w:t>期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间获得国家和市级科技奖励的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CN"/>
        </w:rPr>
        <w:t>第一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完成单位（须上传获奖证明材料），将科技成果通过科普微视频、实物模型、</w:t>
      </w: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val="zh-TW" w:eastAsia="zh-TW"/>
        </w:rPr>
        <w:t>VR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体验、科普宣传折页等通俗易懂、深入浅出的方式，面向社会公众进行广泛宣传、介绍和推广。组织不少于</w:t>
      </w: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val="zh-TW" w:eastAsia="zh-TW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TW" w:eastAsia="zh-CN"/>
        </w:rPr>
        <w:t>场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大型科普专题讲座或互动性科普活动，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CN"/>
        </w:rPr>
        <w:t>线下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参与人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CN"/>
        </w:rPr>
        <w:t>数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不少于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val="zh-TW" w:eastAsia="zh-TW"/>
        </w:rPr>
        <w:t>00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人，创作科普微视频不少于</w:t>
      </w: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val="zh-TW" w:eastAsia="zh-TW"/>
        </w:rPr>
        <w:t>1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部，每年科普推文不少于</w:t>
      </w: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val="zh-TW" w:eastAsia="zh-TW"/>
        </w:rPr>
        <w:t>10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篇。所开展的活动和围绕该专题开发的线上科普资源需在“科普惠”微信平台公开发布并自主完成公众参与对接。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val="zh-TW" w:eastAsia="zh-TW"/>
        </w:rPr>
      </w:pP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val="zh-TW" w:eastAsia="zh-TW"/>
        </w:rPr>
        <w:t>3.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资助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额度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：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万元/项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default"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</w:rPr>
        <w:t>专题</w:t>
      </w:r>
      <w:r>
        <w:rPr>
          <w:rFonts w:hint="eastAsia"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十四</w:t>
      </w:r>
      <w:r>
        <w:rPr>
          <w:rFonts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</w:rPr>
        <w:t>：</w:t>
      </w:r>
      <w:r>
        <w:rPr>
          <w:rFonts w:hint="eastAsia"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重大创新平台</w:t>
      </w:r>
      <w:r>
        <w:rPr>
          <w:rFonts w:hint="eastAsia"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</w:rPr>
        <w:t>特色</w:t>
      </w:r>
      <w:r>
        <w:rPr>
          <w:rFonts w:hint="eastAsia"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科普</w:t>
      </w:r>
      <w:r>
        <w:rPr>
          <w:rFonts w:hint="eastAsia"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</w:rPr>
        <w:t>活动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</w:rPr>
      </w:pP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eastAsia="zh-TW"/>
        </w:rPr>
        <w:t>1.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CN"/>
        </w:rPr>
        <w:t>总体目标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：充分发挥重大创新平台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CN"/>
        </w:rPr>
        <w:t>科技资源、人才资源富集优势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，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CN"/>
        </w:rPr>
        <w:t>支持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重大创新平台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CN"/>
        </w:rPr>
        <w:t>组织丰富多彩的特色科普活动，定期面向社会开放，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打造成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CN"/>
        </w:rPr>
        <w:t>为支撑公民科学素质提升的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“科学地标”。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</w:rPr>
      </w:pP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</w:rPr>
        <w:t>2.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  <w:t>申报要求：申报单位结合自身特色资源，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TW"/>
        </w:rPr>
        <w:t>采取专题讲座、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  <w:t>科普游学、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TW"/>
        </w:rPr>
        <w:t>互动体验等多种形式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开展主题鲜明的科普宣传活动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  <w:t>，活动应内容丰富，形式多样，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CN"/>
        </w:rPr>
        <w:t>线上线下有机结合，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  <w:t>影响力广泛，系列活动次数一般不少于3场或累计活动时长不少于3天，线下参与500人次以上。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所开展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的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活动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和围绕该专题开发的线上科普资源需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在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“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科普惠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”微信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平台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公开发布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并自主完成公众参与对接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。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TW"/>
        </w:rPr>
        <w:t>本专题仅限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  <w:t>国家、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TW"/>
        </w:rPr>
        <w:t>天津市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重大创新平台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TW"/>
        </w:rPr>
        <w:t>依托单位申报。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adjustRightInd w:val="0"/>
        <w:snapToGrid w:val="0"/>
        <w:spacing w:line="560" w:lineRule="exact"/>
        <w:ind w:right="0" w:rightChars="0" w:firstLine="606" w:firstLineChars="200"/>
        <w:textAlignment w:val="auto"/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</w:rPr>
        <w:t>3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.资助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</w:rPr>
        <w:t>额度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：</w:t>
      </w:r>
      <w:r>
        <w:rPr>
          <w:rFonts w:hint="default" w:ascii="Nimbus Roman No9 L" w:hAnsi="Nimbus Roman No9 L" w:eastAsia="Nimbus Roman No9 L" w:cs="Nimbus Roman No9 L"/>
          <w:color w:val="auto"/>
          <w:sz w:val="32"/>
          <w:szCs w:val="32"/>
          <w:highlight w:val="none"/>
        </w:rPr>
        <w:t>3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</w:rPr>
        <w:t>万元/项。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zh-TW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zh-TW" w:eastAsia="zh-CN"/>
        </w:rPr>
        <w:t>五、科普宣传活动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eastAsia"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专题十五：</w:t>
      </w:r>
      <w:r>
        <w:rPr>
          <w:rFonts w:hint="default"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</w:rPr>
        <w:t>京津冀科普活动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CN"/>
        </w:rPr>
        <w:t>1.总体目标：以推动京津冀科普协同发展为导向，聚焦京津冀优质科普资源，组织京津冀科普理论研讨、资源对接、人才交流等相关活动，实现区域资源共享、人才共用。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CN"/>
        </w:rPr>
        <w:t>2.申报条件：申报单位应了解京津冀三地科普资源，能够联动三地科普力量，组织辐射三地的科普交流活动。鼓励天津市内单位联合京、冀两地联合申报。执行期内，组织科普活动不少于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CN"/>
        </w:rPr>
        <w:t>场，累计参与人数不少于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  <w:t>100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CN"/>
        </w:rPr>
        <w:t>人次。所开展的活动和围绕该专题开发的线上科普资源需在“科普惠”微信平台公开发布并自主完成公众参与对接。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CN"/>
        </w:rPr>
        <w:t>3.资助额度：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CN"/>
        </w:rPr>
        <w:t>万元/项。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default"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专题十六：外国专家科普</w:t>
      </w:r>
      <w:r>
        <w:rPr>
          <w:rFonts w:hint="eastAsia"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0"/>
        <w:textAlignment w:val="auto"/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eastAsia="zh-TW"/>
        </w:rPr>
        <w:t>1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.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总体目标：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CN"/>
        </w:rPr>
        <w:t>围绕先进技术和科学文化等领域，发挥在津外籍专家作用，面向青少年等重点人群，结合自身专业特长，开展科普活动，提升我市科普工作国际交流水平。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0"/>
        <w:textAlignment w:val="auto"/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</w:pP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eastAsia="zh-TW"/>
        </w:rPr>
        <w:t>2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.申报条件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：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CN"/>
        </w:rPr>
        <w:t>申报单位应具有开展科普工作的外籍专家团队，能够围绕专家研究领域，通过开展科普讲座、短视频等方式，组织具有国际视角的科普活动。项目科普内容应对华友好，仅限科技领域。执行期内，组织科普活动不少于</w:t>
      </w: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场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  <w:t>，每次参与人数不少于</w:t>
      </w: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val="en-US" w:eastAsia="zh-CN"/>
        </w:rPr>
        <w:t>100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  <w:t>人，科普推文累计不少于</w:t>
      </w: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  <w:t>篇。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CN"/>
        </w:rPr>
        <w:t>需提交外籍人才在津工作相关证明。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0"/>
        <w:textAlignment w:val="auto"/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  <w:lang w:eastAsia="zh-TW"/>
        </w:rPr>
        <w:t>3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.资助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额度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：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万元/项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</w:rPr>
        <w:t>专题</w:t>
      </w:r>
      <w:r>
        <w:rPr>
          <w:rFonts w:hint="eastAsia"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十七</w:t>
      </w:r>
      <w:r>
        <w:rPr>
          <w:rFonts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</w:rPr>
        <w:t>：</w:t>
      </w:r>
      <w:r>
        <w:rPr>
          <w:rFonts w:hint="eastAsia"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专题</w:t>
      </w:r>
      <w:r>
        <w:rPr>
          <w:rFonts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</w:rPr>
        <w:t>科普</w:t>
      </w:r>
      <w:r>
        <w:rPr>
          <w:rFonts w:hint="eastAsia"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宣传</w:t>
      </w:r>
      <w:r>
        <w:rPr>
          <w:rFonts w:ascii="Nimbus Roman No9 L" w:hAnsi="Nimbus Roman No9 L" w:eastAsia="仿宋_GB2312" w:cs="仿宋_GB2312"/>
          <w:b/>
          <w:bCs/>
          <w:color w:val="auto"/>
          <w:sz w:val="32"/>
          <w:szCs w:val="32"/>
          <w:highlight w:val="none"/>
        </w:rPr>
        <w:t>活动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</w:pPr>
      <w:r>
        <w:rPr>
          <w:rFonts w:hint="default" w:ascii="Nimbus Roman No9 L" w:hAnsi="Nimbus Roman No9 L" w:eastAsia="仿宋_GB2312" w:cs="仿宋_GB2312"/>
          <w:b w:val="0"/>
          <w:bCs w:val="0"/>
          <w:color w:val="auto"/>
          <w:sz w:val="32"/>
          <w:szCs w:val="32"/>
          <w:highlight w:val="none"/>
          <w:lang w:val="zh-CN" w:eastAsia="zh-CN"/>
        </w:rPr>
        <w:t>1.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val="zh-CN"/>
        </w:rPr>
        <w:t>征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</w:rPr>
        <w:t>集范围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：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重点支持全市范围开展的、符合时代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特色和公众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需求的专题性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系列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科普活动。活动能够吸引社会各界广泛参与，受众面广，影响力大，对全市科普活动开展具有示范作用。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分为以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CN"/>
        </w:rPr>
        <w:t>下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个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领域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：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  <w:t>A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.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CN"/>
        </w:rPr>
        <w:t>高新技术科普宣传活动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</w:rPr>
        <w:t>。含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CN"/>
        </w:rPr>
        <w:t>新质生产力、数字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CN"/>
        </w:rPr>
        <w:t>智能、航空航天、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CN"/>
        </w:rPr>
        <w:t>信创、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CN"/>
        </w:rPr>
        <w:t>新能源新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</w:rPr>
        <w:t>材料等方向（包括但不限于，下同）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;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Nimbus Roman No9 L" w:hAnsi="Nimbus Roman No9 L" w:eastAsia="宋体" w:cs="Nimbus Roman No9 L"/>
          <w:color w:val="auto"/>
          <w:sz w:val="32"/>
          <w:szCs w:val="32"/>
          <w:highlight w:val="none"/>
          <w:lang w:val="en-US" w:eastAsia="zh-CN"/>
        </w:rPr>
        <w:t>B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.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CN"/>
        </w:rPr>
        <w:t>生态文明科普宣传活动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</w:rPr>
        <w:t>。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含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CN"/>
        </w:rPr>
        <w:t>“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</w:rPr>
        <w:t>双碳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CN"/>
        </w:rPr>
        <w:t>”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</w:rPr>
        <w:t>、水资源节约利用、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CN"/>
        </w:rPr>
        <w:t>生物多样性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</w:rPr>
        <w:t>保护、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CN"/>
        </w:rPr>
        <w:t>垃圾分类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等方向；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Nimbus Roman No9 L" w:hAnsi="Nimbus Roman No9 L" w:eastAsia="宋体" w:cs="Nimbus Roman No9 L"/>
          <w:color w:val="auto"/>
          <w:sz w:val="32"/>
          <w:szCs w:val="32"/>
          <w:highlight w:val="none"/>
          <w:lang w:val="en-US" w:eastAsia="zh-CN"/>
        </w:rPr>
        <w:t>C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.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</w:rPr>
        <w:t>卫生健康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CN"/>
        </w:rPr>
        <w:t>科普宣传活动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</w:rPr>
        <w:t>。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含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</w:rPr>
        <w:t>基本健康知识普及、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  <w:t>中医药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</w:rPr>
        <w:t>、生物安全、食品安全等方向；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</w:rPr>
        <w:t>D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.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CN"/>
        </w:rPr>
        <w:t>应急科普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CN"/>
        </w:rPr>
        <w:t>宣传活动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</w:rPr>
        <w:t>。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含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CN"/>
        </w:rPr>
        <w:t>防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</w:rPr>
        <w:t>震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CN"/>
        </w:rPr>
        <w:t>减灾、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CN"/>
        </w:rPr>
        <w:t>消防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CN"/>
        </w:rPr>
        <w:t>、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zh-CN"/>
        </w:rPr>
        <w:t>气象、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CN"/>
        </w:rPr>
        <w:t>安全生产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</w:rPr>
        <w:t>、应急救援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CN"/>
        </w:rPr>
        <w:t>等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方向；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Nimbus Roman No9 L" w:hAnsi="Nimbus Roman No9 L" w:eastAsia="宋体" w:cs="Nimbus Roman No9 L"/>
          <w:color w:val="auto"/>
          <w:sz w:val="32"/>
          <w:szCs w:val="32"/>
          <w:highlight w:val="none"/>
          <w:lang w:val="en-US" w:eastAsia="zh-CN"/>
        </w:rPr>
        <w:t>E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.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CN"/>
        </w:rPr>
        <w:t>科技惠农科普宣传活动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</w:rPr>
        <w:t>。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含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</w:rPr>
        <w:t>乡村振兴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CN"/>
        </w:rPr>
        <w:t>现代农业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val="zh-TW"/>
        </w:rPr>
        <w:t>科技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CN"/>
        </w:rPr>
        <w:t>知识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</w:rPr>
        <w:t>普及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CN"/>
        </w:rPr>
        <w:t>，以及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  <w:t>东西部协作科普交流、对口帮扶地区科普资源输送等方向。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spacing w:line="560" w:lineRule="exact"/>
        <w:ind w:firstLine="606" w:firstLineChars="200"/>
        <w:textAlignment w:val="auto"/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</w:pP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</w:rPr>
        <w:t>2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.申报要求：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项目申报单位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可采取专题讲座、发放资料、互动体验、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知识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竞赛等多种形式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开展主题鲜明的科普宣传活动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，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CN"/>
        </w:rPr>
        <w:t>活动应线上线下有机结合，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鼓励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设计制作科普展板、宣传折页、记事本等宣传产品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用于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公益发放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。执行期内，组织科普活动不少于3场，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CN"/>
        </w:rPr>
        <w:t>累计参与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人数不少于100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人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CN"/>
        </w:rPr>
        <w:t>次。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所开展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的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活动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和围绕该专题开发的线上科普资源需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在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“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科普惠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”微信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平台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公开发布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并自主完成公众参与对接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。申报时题目</w:t>
      </w:r>
      <w:r>
        <w:rPr>
          <w:rFonts w:hint="eastAsia" w:ascii="Nimbus Roman No9 L" w:hAnsi="Nimbus Roman No9 L" w:eastAsia="仿宋_GB2312" w:cs="仿宋_GB2312"/>
          <w:color w:val="auto"/>
          <w:sz w:val="32"/>
          <w:szCs w:val="32"/>
          <w:highlight w:val="none"/>
          <w:lang w:eastAsia="zh-CN"/>
        </w:rPr>
        <w:t>格式须统一为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“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</w:rPr>
        <w:t>面向</w:t>
      </w:r>
      <w:r>
        <w:rPr>
          <w:rFonts w:hint="default" w:ascii="Nimbus Roman No9 L" w:hAnsi="Nimbus Roman No9 L" w:eastAsia="Nimbus Roman No9 L" w:cs="Nimbus Roman No9 L"/>
          <w:color w:val="auto"/>
          <w:sz w:val="32"/>
          <w:szCs w:val="32"/>
          <w:highlight w:val="none"/>
        </w:rPr>
        <w:t>XX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</w:rPr>
        <w:t>群体的</w:t>
      </w: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</w:rPr>
        <w:t>XX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</w:rPr>
        <w:t>专题科普宣传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活动”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val="zh-TW" w:eastAsia="zh-TW"/>
        </w:rPr>
        <w:t>。我市行政区域内的各企事业单位均可申报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  <w:lang w:eastAsia="zh-TW"/>
        </w:rPr>
        <w:t>。</w:t>
      </w:r>
    </w:p>
    <w:p>
      <w:pPr>
        <w:keepNext w:val="0"/>
        <w:keepLines w:val="0"/>
        <w:pageBreakBefore w:val="0"/>
        <w:widowControl w:val="0"/>
        <w:wordWrap/>
        <w:autoSpaceDE/>
        <w:autoSpaceDN/>
        <w:bidi w:val="0"/>
        <w:adjustRightInd w:val="0"/>
        <w:snapToGrid w:val="0"/>
        <w:spacing w:line="560" w:lineRule="exact"/>
        <w:ind w:right="0" w:rightChars="0" w:firstLine="606" w:firstLineChars="200"/>
        <w:textAlignment w:val="auto"/>
        <w:rPr>
          <w:rFonts w:hint="eastAsia" w:ascii="Nimbus Roman No9 L" w:hAnsi="Nimbus Roman No9 L" w:eastAsia="仿宋_GB2312"/>
          <w:sz w:val="28"/>
          <w:szCs w:val="28"/>
          <w:highlight w:val="none"/>
        </w:rPr>
      </w:pP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highlight w:val="none"/>
        </w:rPr>
        <w:t>3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.资助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</w:rPr>
        <w:t>额度</w:t>
      </w:r>
      <w:r>
        <w:rPr>
          <w:rFonts w:ascii="Nimbus Roman No9 L" w:hAnsi="Nimbus Roman No9 L" w:eastAsia="仿宋_GB2312" w:cs="仿宋_GB2312"/>
          <w:color w:val="auto"/>
          <w:sz w:val="32"/>
          <w:szCs w:val="32"/>
          <w:highlight w:val="none"/>
        </w:rPr>
        <w:t>：</w:t>
      </w:r>
      <w:r>
        <w:rPr>
          <w:rFonts w:hint="default" w:ascii="Nimbus Roman No9 L" w:hAnsi="Nimbus Roman No9 L" w:eastAsia="Nimbus Roman No9 L" w:cs="Nimbus Roman No9 L"/>
          <w:color w:val="auto"/>
          <w:sz w:val="32"/>
          <w:szCs w:val="32"/>
          <w:highlight w:val="none"/>
        </w:rPr>
        <w:t>3</w:t>
      </w:r>
      <w:r>
        <w:rPr>
          <w:rFonts w:hint="default" w:ascii="Nimbus Roman No9 L" w:hAnsi="Nimbus Roman No9 L" w:eastAsia="仿宋_GB2312" w:cs="仿宋_GB2312"/>
          <w:color w:val="auto"/>
          <w:sz w:val="32"/>
          <w:szCs w:val="32"/>
          <w:highlight w:val="none"/>
        </w:rPr>
        <w:t>万元/项。</w:t>
      </w:r>
    </w:p>
    <w:p>
      <w:pPr>
        <w:adjustRightInd w:val="0"/>
        <w:snapToGrid w:val="0"/>
        <w:spacing w:line="560" w:lineRule="exact"/>
        <w:rPr>
          <w:rFonts w:eastAsia="仿宋_GB2312"/>
          <w:snapToGrid w:val="0"/>
          <w:kern w:val="0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606" w:firstLineChars="200"/>
        <w:rPr>
          <w:rFonts w:hint="eastAsia" w:ascii="仿宋_GB2312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606" w:firstLineChars="200"/>
        <w:rPr>
          <w:rFonts w:hint="eastAsia" w:ascii="仿宋_GB2312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606" w:firstLineChars="200"/>
        <w:rPr>
          <w:rFonts w:hint="eastAsia" w:ascii="仿宋_GB2312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606" w:firstLineChars="200"/>
        <w:rPr>
          <w:rFonts w:hint="eastAsia" w:ascii="仿宋_GB2312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606" w:firstLineChars="200"/>
        <w:rPr>
          <w:rFonts w:hint="eastAsia" w:ascii="仿宋_GB2312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606" w:firstLineChars="200"/>
        <w:rPr>
          <w:rFonts w:hint="eastAsia" w:ascii="仿宋_GB2312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520" w:lineRule="exact"/>
        <w:ind w:firstLine="606" w:firstLineChars="200"/>
        <w:rPr>
          <w:rFonts w:hint="eastAsia" w:ascii="仿宋_GB2312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520" w:lineRule="exact"/>
        <w:ind w:firstLine="606" w:firstLineChars="200"/>
        <w:rPr>
          <w:rFonts w:hint="eastAsia" w:ascii="仿宋_GB2312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520" w:lineRule="exact"/>
        <w:ind w:firstLine="606" w:firstLineChars="200"/>
        <w:rPr>
          <w:rFonts w:hint="eastAsia" w:ascii="仿宋_GB2312" w:eastAsia="仿宋_GB2312"/>
          <w:sz w:val="32"/>
          <w:szCs w:val="32"/>
          <w:highlight w:val="none"/>
        </w:rPr>
      </w:pPr>
    </w:p>
    <w:p>
      <w:pPr>
        <w:ind w:right="-1" w:rightChars="-1" w:firstLine="263" w:firstLineChars="100"/>
        <w:rPr>
          <w:rFonts w:hint="eastAsia" w:ascii="仿宋_GB2312" w:eastAsia="仿宋_GB2312"/>
          <w:sz w:val="28"/>
          <w:szCs w:val="28"/>
          <w:highlight w:val="none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077" w:gutter="0"/>
      <w:pgNumType w:fmt="numberInDash"/>
      <w:cols w:space="720" w:num="1"/>
      <w:docGrid w:type="linesAndChars" w:linePitch="579" w:charSpace="-36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28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280" w:firstLineChars="1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8 -</w:t>
    </w:r>
    <w:r>
      <w:rPr>
        <w:rFonts w:ascii="宋体" w:hAnsi="宋体"/>
        <w:sz w:val="28"/>
        <w:szCs w:val="28"/>
      </w:rPr>
      <w:fldChar w:fldCharType="end"/>
    </w:r>
  </w:p>
  <w:p>
    <w:pPr>
      <w:pStyle w:val="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evenAndOddHeaders w:val="true"/>
  <w:drawingGridHorizontalSpacing w:val="96"/>
  <w:drawingGridVerticalSpacing w:val="57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1A"/>
    <w:rsid w:val="00002F68"/>
    <w:rsid w:val="000144F3"/>
    <w:rsid w:val="00020C56"/>
    <w:rsid w:val="00033803"/>
    <w:rsid w:val="00046F69"/>
    <w:rsid w:val="00047EED"/>
    <w:rsid w:val="00056CC5"/>
    <w:rsid w:val="00072218"/>
    <w:rsid w:val="00083430"/>
    <w:rsid w:val="00083F8C"/>
    <w:rsid w:val="000904EE"/>
    <w:rsid w:val="000A0ABC"/>
    <w:rsid w:val="000A2BAE"/>
    <w:rsid w:val="000A4124"/>
    <w:rsid w:val="000B54C1"/>
    <w:rsid w:val="000B5FF0"/>
    <w:rsid w:val="000B6363"/>
    <w:rsid w:val="000B6B4C"/>
    <w:rsid w:val="000C711D"/>
    <w:rsid w:val="000D3295"/>
    <w:rsid w:val="000D5F7A"/>
    <w:rsid w:val="00100C4E"/>
    <w:rsid w:val="001032D1"/>
    <w:rsid w:val="00107027"/>
    <w:rsid w:val="00163844"/>
    <w:rsid w:val="00166523"/>
    <w:rsid w:val="001A2DE2"/>
    <w:rsid w:val="001C0711"/>
    <w:rsid w:val="001D4F6B"/>
    <w:rsid w:val="001F2E84"/>
    <w:rsid w:val="001F4533"/>
    <w:rsid w:val="001F581A"/>
    <w:rsid w:val="001F7967"/>
    <w:rsid w:val="00212C15"/>
    <w:rsid w:val="002305B4"/>
    <w:rsid w:val="00236910"/>
    <w:rsid w:val="00240AAF"/>
    <w:rsid w:val="00260207"/>
    <w:rsid w:val="00266704"/>
    <w:rsid w:val="00284EA7"/>
    <w:rsid w:val="002A7BE3"/>
    <w:rsid w:val="002B63CF"/>
    <w:rsid w:val="002C284E"/>
    <w:rsid w:val="002C4980"/>
    <w:rsid w:val="002E404E"/>
    <w:rsid w:val="002E473F"/>
    <w:rsid w:val="002E76F8"/>
    <w:rsid w:val="002E7C55"/>
    <w:rsid w:val="002E7F7D"/>
    <w:rsid w:val="00302117"/>
    <w:rsid w:val="00307012"/>
    <w:rsid w:val="003252D0"/>
    <w:rsid w:val="00344FFC"/>
    <w:rsid w:val="003564B8"/>
    <w:rsid w:val="0036324B"/>
    <w:rsid w:val="0039400E"/>
    <w:rsid w:val="003A0AC9"/>
    <w:rsid w:val="003A3DA5"/>
    <w:rsid w:val="003B29D8"/>
    <w:rsid w:val="003B38AB"/>
    <w:rsid w:val="003B3968"/>
    <w:rsid w:val="003E737B"/>
    <w:rsid w:val="003F3155"/>
    <w:rsid w:val="00406175"/>
    <w:rsid w:val="00411811"/>
    <w:rsid w:val="00421FC7"/>
    <w:rsid w:val="004226FF"/>
    <w:rsid w:val="004405C3"/>
    <w:rsid w:val="00442A6F"/>
    <w:rsid w:val="004440A5"/>
    <w:rsid w:val="0044535C"/>
    <w:rsid w:val="0045180F"/>
    <w:rsid w:val="00454417"/>
    <w:rsid w:val="004544E1"/>
    <w:rsid w:val="00463006"/>
    <w:rsid w:val="004655FB"/>
    <w:rsid w:val="004835AC"/>
    <w:rsid w:val="004A07BE"/>
    <w:rsid w:val="004A2739"/>
    <w:rsid w:val="004A4E51"/>
    <w:rsid w:val="004B0A1A"/>
    <w:rsid w:val="004B5B63"/>
    <w:rsid w:val="004B5CEB"/>
    <w:rsid w:val="004B6ABC"/>
    <w:rsid w:val="004C289E"/>
    <w:rsid w:val="004C3631"/>
    <w:rsid w:val="004D26C0"/>
    <w:rsid w:val="004F3D93"/>
    <w:rsid w:val="00506EAE"/>
    <w:rsid w:val="0055024E"/>
    <w:rsid w:val="0055385C"/>
    <w:rsid w:val="00553E11"/>
    <w:rsid w:val="00557316"/>
    <w:rsid w:val="00560A51"/>
    <w:rsid w:val="00561059"/>
    <w:rsid w:val="0057569C"/>
    <w:rsid w:val="00584B0F"/>
    <w:rsid w:val="005860B8"/>
    <w:rsid w:val="005C06AF"/>
    <w:rsid w:val="005E38E6"/>
    <w:rsid w:val="005E39D8"/>
    <w:rsid w:val="005E6A9B"/>
    <w:rsid w:val="005F0582"/>
    <w:rsid w:val="005F0A0C"/>
    <w:rsid w:val="006023B2"/>
    <w:rsid w:val="00606809"/>
    <w:rsid w:val="00607A73"/>
    <w:rsid w:val="006174A7"/>
    <w:rsid w:val="006222EE"/>
    <w:rsid w:val="006225AD"/>
    <w:rsid w:val="0064073B"/>
    <w:rsid w:val="006439FE"/>
    <w:rsid w:val="00646DF0"/>
    <w:rsid w:val="00653696"/>
    <w:rsid w:val="00663A31"/>
    <w:rsid w:val="00664E24"/>
    <w:rsid w:val="0067276C"/>
    <w:rsid w:val="00677C1D"/>
    <w:rsid w:val="00677D79"/>
    <w:rsid w:val="006838F7"/>
    <w:rsid w:val="006871A3"/>
    <w:rsid w:val="006A05AB"/>
    <w:rsid w:val="006A2A00"/>
    <w:rsid w:val="006B649D"/>
    <w:rsid w:val="006D1D95"/>
    <w:rsid w:val="006F4EB6"/>
    <w:rsid w:val="00701D78"/>
    <w:rsid w:val="0070221C"/>
    <w:rsid w:val="00711092"/>
    <w:rsid w:val="007177BD"/>
    <w:rsid w:val="00733C03"/>
    <w:rsid w:val="00734B13"/>
    <w:rsid w:val="00736EB7"/>
    <w:rsid w:val="00737A8C"/>
    <w:rsid w:val="00751B1B"/>
    <w:rsid w:val="00754CAD"/>
    <w:rsid w:val="00756732"/>
    <w:rsid w:val="007615B2"/>
    <w:rsid w:val="007640B0"/>
    <w:rsid w:val="00780B93"/>
    <w:rsid w:val="007816D4"/>
    <w:rsid w:val="007A7D56"/>
    <w:rsid w:val="007B2D83"/>
    <w:rsid w:val="007E0ACD"/>
    <w:rsid w:val="007E1A42"/>
    <w:rsid w:val="008003A1"/>
    <w:rsid w:val="00803B03"/>
    <w:rsid w:val="0080438F"/>
    <w:rsid w:val="0081210F"/>
    <w:rsid w:val="00830F62"/>
    <w:rsid w:val="0083146E"/>
    <w:rsid w:val="00847FB3"/>
    <w:rsid w:val="008512B8"/>
    <w:rsid w:val="00855652"/>
    <w:rsid w:val="00861F8F"/>
    <w:rsid w:val="0088379F"/>
    <w:rsid w:val="00887228"/>
    <w:rsid w:val="00894A0F"/>
    <w:rsid w:val="008B44FB"/>
    <w:rsid w:val="008C1364"/>
    <w:rsid w:val="008C6F81"/>
    <w:rsid w:val="008D303B"/>
    <w:rsid w:val="008E078B"/>
    <w:rsid w:val="008E4A3E"/>
    <w:rsid w:val="009210E4"/>
    <w:rsid w:val="00924233"/>
    <w:rsid w:val="00934CBC"/>
    <w:rsid w:val="0093608A"/>
    <w:rsid w:val="00943BFA"/>
    <w:rsid w:val="00957FEC"/>
    <w:rsid w:val="009634C8"/>
    <w:rsid w:val="0097316F"/>
    <w:rsid w:val="009745EA"/>
    <w:rsid w:val="00974A79"/>
    <w:rsid w:val="00983F1C"/>
    <w:rsid w:val="0098720A"/>
    <w:rsid w:val="00987666"/>
    <w:rsid w:val="009B117D"/>
    <w:rsid w:val="009B265E"/>
    <w:rsid w:val="009B273F"/>
    <w:rsid w:val="009B62F6"/>
    <w:rsid w:val="009C28DB"/>
    <w:rsid w:val="009F7282"/>
    <w:rsid w:val="00A271FD"/>
    <w:rsid w:val="00A324DD"/>
    <w:rsid w:val="00A441EB"/>
    <w:rsid w:val="00A456D6"/>
    <w:rsid w:val="00A461E7"/>
    <w:rsid w:val="00A462EC"/>
    <w:rsid w:val="00A51E02"/>
    <w:rsid w:val="00A55425"/>
    <w:rsid w:val="00A640FE"/>
    <w:rsid w:val="00A721F3"/>
    <w:rsid w:val="00AA4669"/>
    <w:rsid w:val="00AA5A4E"/>
    <w:rsid w:val="00AB067D"/>
    <w:rsid w:val="00AC06C1"/>
    <w:rsid w:val="00AC7B35"/>
    <w:rsid w:val="00AD4BE8"/>
    <w:rsid w:val="00AE2704"/>
    <w:rsid w:val="00AE4E9E"/>
    <w:rsid w:val="00B03350"/>
    <w:rsid w:val="00B04A5D"/>
    <w:rsid w:val="00B063DE"/>
    <w:rsid w:val="00B13A78"/>
    <w:rsid w:val="00B2774B"/>
    <w:rsid w:val="00B4057A"/>
    <w:rsid w:val="00B435AA"/>
    <w:rsid w:val="00B50BC0"/>
    <w:rsid w:val="00B8225A"/>
    <w:rsid w:val="00B87CD9"/>
    <w:rsid w:val="00B905BD"/>
    <w:rsid w:val="00B92693"/>
    <w:rsid w:val="00B957BC"/>
    <w:rsid w:val="00BA30C6"/>
    <w:rsid w:val="00BD18D1"/>
    <w:rsid w:val="00BE1878"/>
    <w:rsid w:val="00C07644"/>
    <w:rsid w:val="00C11C8F"/>
    <w:rsid w:val="00C359AB"/>
    <w:rsid w:val="00C67352"/>
    <w:rsid w:val="00C759DC"/>
    <w:rsid w:val="00C95D69"/>
    <w:rsid w:val="00CA1F4C"/>
    <w:rsid w:val="00CC2DED"/>
    <w:rsid w:val="00CC78A6"/>
    <w:rsid w:val="00CE12DB"/>
    <w:rsid w:val="00CE4F91"/>
    <w:rsid w:val="00CE7C32"/>
    <w:rsid w:val="00D16175"/>
    <w:rsid w:val="00D467EB"/>
    <w:rsid w:val="00D5337E"/>
    <w:rsid w:val="00D8047C"/>
    <w:rsid w:val="00D867A4"/>
    <w:rsid w:val="00D90CE9"/>
    <w:rsid w:val="00D9366D"/>
    <w:rsid w:val="00DA21F7"/>
    <w:rsid w:val="00DB345F"/>
    <w:rsid w:val="00DB6AD6"/>
    <w:rsid w:val="00DC005F"/>
    <w:rsid w:val="00DD2ADF"/>
    <w:rsid w:val="00DD7342"/>
    <w:rsid w:val="00DE39EC"/>
    <w:rsid w:val="00DE75AF"/>
    <w:rsid w:val="00E34793"/>
    <w:rsid w:val="00E55524"/>
    <w:rsid w:val="00E5598D"/>
    <w:rsid w:val="00E6116D"/>
    <w:rsid w:val="00E63ACA"/>
    <w:rsid w:val="00E6431C"/>
    <w:rsid w:val="00E65710"/>
    <w:rsid w:val="00E7395C"/>
    <w:rsid w:val="00E822E8"/>
    <w:rsid w:val="00E94D61"/>
    <w:rsid w:val="00EA487E"/>
    <w:rsid w:val="00EB2C93"/>
    <w:rsid w:val="00EC5032"/>
    <w:rsid w:val="00F029BA"/>
    <w:rsid w:val="00F1314D"/>
    <w:rsid w:val="00F207A1"/>
    <w:rsid w:val="00F21126"/>
    <w:rsid w:val="00F75A31"/>
    <w:rsid w:val="00F86262"/>
    <w:rsid w:val="00F91B09"/>
    <w:rsid w:val="00F97090"/>
    <w:rsid w:val="00FB7289"/>
    <w:rsid w:val="00FD217E"/>
    <w:rsid w:val="00FD287E"/>
    <w:rsid w:val="00FD69BA"/>
    <w:rsid w:val="2BDFEFD5"/>
    <w:rsid w:val="2F9B0328"/>
    <w:rsid w:val="3BBEC006"/>
    <w:rsid w:val="3FB98DAE"/>
    <w:rsid w:val="57AB2070"/>
    <w:rsid w:val="5BFA9A61"/>
    <w:rsid w:val="5FB9FD09"/>
    <w:rsid w:val="637E2A7C"/>
    <w:rsid w:val="68FBE52D"/>
    <w:rsid w:val="6AC9CD7D"/>
    <w:rsid w:val="6F7E7A24"/>
    <w:rsid w:val="6FCEC386"/>
    <w:rsid w:val="757EB72B"/>
    <w:rsid w:val="75ECB032"/>
    <w:rsid w:val="77F2D380"/>
    <w:rsid w:val="79677558"/>
    <w:rsid w:val="7BDCCA65"/>
    <w:rsid w:val="7BFF463B"/>
    <w:rsid w:val="7DF7CE3F"/>
    <w:rsid w:val="7EDF7F97"/>
    <w:rsid w:val="81B53690"/>
    <w:rsid w:val="85FF4CF0"/>
    <w:rsid w:val="8F6E1FEE"/>
    <w:rsid w:val="ACE70E17"/>
    <w:rsid w:val="AFBB6D3A"/>
    <w:rsid w:val="B53BB4A6"/>
    <w:rsid w:val="BBDE5E35"/>
    <w:rsid w:val="BBEC420B"/>
    <w:rsid w:val="BDBF2D1F"/>
    <w:rsid w:val="CC6F99FB"/>
    <w:rsid w:val="DE6C39DB"/>
    <w:rsid w:val="DEFD13D9"/>
    <w:rsid w:val="DF7D96D0"/>
    <w:rsid w:val="DFBFBEDE"/>
    <w:rsid w:val="EBBA3002"/>
    <w:rsid w:val="EFCB9FD9"/>
    <w:rsid w:val="F5E08176"/>
    <w:rsid w:val="F756F185"/>
    <w:rsid w:val="F7DFFC2F"/>
    <w:rsid w:val="F7FFD159"/>
    <w:rsid w:val="FAFAC535"/>
    <w:rsid w:val="FD7E11FD"/>
    <w:rsid w:val="FECF7E76"/>
    <w:rsid w:val="FEFBC737"/>
    <w:rsid w:val="FFEB8079"/>
    <w:rsid w:val="FFFF475D"/>
    <w:rsid w:val="FFFF59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jc w:val="center"/>
    </w:pPr>
    <w:rPr>
      <w:rFonts w:ascii="Times New Roman" w:eastAsia="宋体"/>
      <w:sz w:val="44"/>
      <w:szCs w:val="20"/>
    </w:r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2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First Indent 2"/>
    <w:basedOn w:val="3"/>
    <w:qFormat/>
    <w:uiPriority w:val="0"/>
    <w:pPr>
      <w:ind w:firstLine="420" w:firstLineChars="200"/>
    </w:pPr>
  </w:style>
  <w:style w:type="character" w:styleId="11">
    <w:name w:val="page number"/>
    <w:basedOn w:val="10"/>
    <w:qFormat/>
    <w:uiPriority w:val="0"/>
  </w:style>
  <w:style w:type="character" w:customStyle="1" w:styleId="12">
    <w:name w:val="页脚 Char"/>
    <w:link w:val="6"/>
    <w:qFormat/>
    <w:uiPriority w:val="99"/>
    <w:rPr>
      <w:kern w:val="2"/>
      <w:sz w:val="18"/>
      <w:szCs w:val="18"/>
    </w:rPr>
  </w:style>
  <w:style w:type="character" w:customStyle="1" w:styleId="13">
    <w:name w:val="页脚 字符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opt/kingsoft/wps-office/office6/C:\Documents%20and%20Settings\Hangyan\Application%20Data\Microsoft\Templates\&#24179;&#32423;&#21457;&#25991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平级发文</Template>
  <Company>tjec</Company>
  <Pages>8</Pages>
  <Words>379</Words>
  <Characters>2161</Characters>
  <Lines>18</Lines>
  <Paragraphs>5</Paragraphs>
  <TotalTime>42</TotalTime>
  <ScaleCrop>false</ScaleCrop>
  <LinksUpToDate>false</LinksUpToDate>
  <CharactersWithSpaces>2535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2020-08-17T17:23:00Z</dcterms:created>
  <dc:creator>办公室</dc:creator>
  <cp:lastModifiedBy>kylin</cp:lastModifiedBy>
  <cp:lastPrinted>2024-03-06T08:44:00Z</cp:lastPrinted>
  <dcterms:modified xsi:type="dcterms:W3CDTF">2024-03-08T10:02:26Z</dcterms:modified>
  <dc:title>津经[2003]号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