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bCs/>
          <w:color w:val="auto"/>
          <w:sz w:val="32"/>
          <w:szCs w:val="32"/>
          <w:highlight w:val="none"/>
        </w:rPr>
      </w:pPr>
      <w:r>
        <w:rPr>
          <w:rFonts w:hint="default" w:ascii="Times New Roman" w:hAnsi="Times New Roman" w:eastAsia="黑体" w:cs="Times New Roman"/>
          <w:b/>
          <w:bCs/>
          <w:color w:val="auto"/>
          <w:sz w:val="32"/>
          <w:szCs w:val="32"/>
          <w:highlight w:val="none"/>
        </w:rPr>
        <w:t>附件1</w:t>
      </w:r>
    </w:p>
    <w:p>
      <w:pPr>
        <w:spacing w:line="500" w:lineRule="exact"/>
        <w:jc w:val="center"/>
        <w:rPr>
          <w:rFonts w:hint="default" w:ascii="Times New Roman" w:hAnsi="Times New Roman" w:eastAsia="宋体" w:cs="Times New Roman"/>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color w:val="auto"/>
          <w:sz w:val="44"/>
          <w:szCs w:val="44"/>
          <w:highlight w:val="none"/>
        </w:rPr>
      </w:pPr>
      <w:bookmarkStart w:id="3" w:name="_GoBack"/>
      <w:r>
        <w:rPr>
          <w:rFonts w:hint="default" w:ascii="Times New Roman" w:hAnsi="Times New Roman" w:eastAsia="宋体" w:cs="Times New Roman"/>
          <w:b/>
          <w:color w:val="auto"/>
          <w:sz w:val="44"/>
          <w:szCs w:val="44"/>
          <w:highlight w:val="none"/>
        </w:rPr>
        <w:t>江西省“</w:t>
      </w:r>
      <w:r>
        <w:rPr>
          <w:rFonts w:hint="default" w:ascii="Times New Roman" w:hAnsi="Times New Roman" w:cs="Times New Roman"/>
          <w:b/>
          <w:color w:val="auto"/>
          <w:sz w:val="44"/>
          <w:szCs w:val="44"/>
          <w:highlight w:val="none"/>
          <w:lang w:val="en"/>
        </w:rPr>
        <w:t>科技+应急</w:t>
      </w:r>
      <w:r>
        <w:rPr>
          <w:rFonts w:hint="default" w:ascii="Times New Roman" w:hAnsi="Times New Roman" w:eastAsia="宋体" w:cs="Times New Roman"/>
          <w:b/>
          <w:color w:val="auto"/>
          <w:sz w:val="44"/>
          <w:szCs w:val="44"/>
          <w:highlight w:val="none"/>
        </w:rPr>
        <w:t>”联合计划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color w:val="auto"/>
          <w:sz w:val="44"/>
          <w:szCs w:val="44"/>
          <w:highlight w:val="none"/>
        </w:rPr>
      </w:pPr>
      <w:r>
        <w:rPr>
          <w:rFonts w:hint="default" w:ascii="Times New Roman" w:hAnsi="Times New Roman" w:eastAsia="宋体" w:cs="Times New Roman"/>
          <w:b/>
          <w:color w:val="auto"/>
          <w:sz w:val="44"/>
          <w:szCs w:val="44"/>
          <w:highlight w:val="none"/>
        </w:rPr>
        <w:t>项目申报指南</w:t>
      </w:r>
      <w:bookmarkEnd w:id="3"/>
    </w:p>
    <w:p>
      <w:pPr>
        <w:spacing w:line="500" w:lineRule="exact"/>
        <w:ind w:firstLine="640" w:firstLineChars="200"/>
        <w:rPr>
          <w:rFonts w:hint="default" w:ascii="Times New Roman" w:hAnsi="Times New Roman" w:eastAsia="华文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pacing w:line="600" w:lineRule="exact"/>
        <w:ind w:left="0" w:right="0" w:firstLine="642" w:firstLineChars="200"/>
        <w:jc w:val="both"/>
        <w:outlineLvl w:val="0"/>
        <w:rPr>
          <w:rFonts w:hint="default" w:ascii="Times New Roman" w:hAnsi="Times New Roman" w:eastAsia="黑体" w:cs="Times New Roman"/>
          <w:b/>
          <w:bCs/>
          <w:color w:val="auto"/>
          <w:sz w:val="32"/>
          <w:szCs w:val="32"/>
          <w:highlight w:val="none"/>
        </w:rPr>
      </w:pPr>
      <w:r>
        <w:rPr>
          <w:rFonts w:hint="default" w:ascii="Times New Roman" w:hAnsi="Times New Roman" w:eastAsia="黑体" w:cs="Times New Roman"/>
          <w:b/>
          <w:bCs/>
          <w:color w:val="auto"/>
          <w:sz w:val="32"/>
          <w:szCs w:val="32"/>
          <w:highlight w:val="none"/>
        </w:rPr>
        <w:t>一、申报项目类型</w:t>
      </w:r>
    </w:p>
    <w:p>
      <w:pPr>
        <w:keepNext w:val="0"/>
        <w:keepLines w:val="0"/>
        <w:pageBreakBefore w:val="0"/>
        <w:widowControl w:val="0"/>
        <w:kinsoku/>
        <w:wordWrap/>
        <w:overflowPunct/>
        <w:topLinePunct w:val="0"/>
        <w:autoSpaceDE/>
        <w:autoSpaceDN/>
        <w:bidi w:val="0"/>
        <w:adjustRightInd w:val="0"/>
        <w:spacing w:line="600" w:lineRule="exact"/>
        <w:ind w:left="0" w:right="0" w:firstLine="640" w:firstLineChars="200"/>
        <w:jc w:val="both"/>
        <w:rPr>
          <w:rFonts w:hint="default" w:ascii="Times New Roman" w:hAnsi="Times New Roman" w:eastAsia="黑体" w:cs="Times New Roman"/>
          <w:b/>
          <w:color w:val="auto"/>
          <w:sz w:val="32"/>
          <w:szCs w:val="32"/>
          <w:highlight w:val="none"/>
        </w:rPr>
      </w:pPr>
      <w:r>
        <w:rPr>
          <w:rFonts w:hint="default" w:ascii="Times New Roman" w:hAnsi="Times New Roman" w:eastAsia="仿宋_GB2312" w:cs="Times New Roman"/>
          <w:color w:val="auto"/>
          <w:sz w:val="32"/>
          <w:szCs w:val="32"/>
          <w:highlight w:val="none"/>
        </w:rPr>
        <w:t>本次组织申报的项目类型，为江西省“</w:t>
      </w:r>
      <w:r>
        <w:rPr>
          <w:rFonts w:hint="default" w:ascii="Times New Roman" w:hAnsi="Times New Roman" w:eastAsia="仿宋_GB2312" w:cs="Times New Roman"/>
          <w:color w:val="auto"/>
          <w:sz w:val="32"/>
          <w:szCs w:val="32"/>
          <w:highlight w:val="none"/>
          <w:lang w:val="en"/>
        </w:rPr>
        <w:t>科技+应急</w:t>
      </w:r>
      <w:r>
        <w:rPr>
          <w:rFonts w:hint="default" w:ascii="Times New Roman" w:hAnsi="Times New Roman" w:eastAsia="仿宋_GB2312" w:cs="Times New Roman"/>
          <w:color w:val="auto"/>
          <w:sz w:val="32"/>
          <w:szCs w:val="32"/>
          <w:highlight w:val="none"/>
        </w:rPr>
        <w:t>”联合计划项目（以下简称项目）。</w:t>
      </w:r>
    </w:p>
    <w:p>
      <w:pPr>
        <w:keepNext w:val="0"/>
        <w:keepLines w:val="0"/>
        <w:pageBreakBefore w:val="0"/>
        <w:widowControl w:val="0"/>
        <w:kinsoku/>
        <w:wordWrap/>
        <w:overflowPunct/>
        <w:topLinePunct w:val="0"/>
        <w:autoSpaceDE/>
        <w:autoSpaceDN/>
        <w:bidi w:val="0"/>
        <w:adjustRightInd w:val="0"/>
        <w:spacing w:line="600" w:lineRule="exact"/>
        <w:ind w:left="0" w:right="0" w:firstLine="642" w:firstLineChars="200"/>
        <w:jc w:val="both"/>
        <w:outlineLvl w:val="0"/>
        <w:rPr>
          <w:rFonts w:hint="default" w:ascii="Times New Roman" w:hAnsi="Times New Roman" w:eastAsia="黑体" w:cs="Times New Roman"/>
          <w:b/>
          <w:bCs/>
          <w:color w:val="auto"/>
          <w:sz w:val="32"/>
          <w:szCs w:val="32"/>
          <w:highlight w:val="none"/>
        </w:rPr>
      </w:pPr>
      <w:r>
        <w:rPr>
          <w:rFonts w:hint="default" w:ascii="Times New Roman" w:hAnsi="Times New Roman" w:eastAsia="黑体" w:cs="Times New Roman"/>
          <w:b/>
          <w:bCs/>
          <w:color w:val="auto"/>
          <w:sz w:val="32"/>
          <w:szCs w:val="32"/>
          <w:highlight w:val="none"/>
        </w:rPr>
        <w:t>二、申报条件及要求</w:t>
      </w:r>
    </w:p>
    <w:p>
      <w:pPr>
        <w:keepNext w:val="0"/>
        <w:keepLines w:val="0"/>
        <w:pageBreakBefore w:val="0"/>
        <w:widowControl w:val="0"/>
        <w:kinsoku/>
        <w:wordWrap/>
        <w:overflowPunct/>
        <w:topLinePunct w:val="0"/>
        <w:autoSpaceDE/>
        <w:autoSpaceDN/>
        <w:bidi w:val="0"/>
        <w:adjustRightInd w:val="0"/>
        <w:spacing w:line="600" w:lineRule="exact"/>
        <w:ind w:left="0" w:right="0" w:firstLine="640" w:firstLineChars="200"/>
        <w:jc w:val="both"/>
        <w:rPr>
          <w:rFonts w:hint="default" w:ascii="Times New Roman" w:hAnsi="Times New Roman" w:eastAsia="黑体" w:cs="Times New Roman"/>
          <w:b/>
          <w:color w:val="auto"/>
          <w:sz w:val="32"/>
          <w:szCs w:val="32"/>
          <w:highlight w:val="none"/>
        </w:rPr>
      </w:pPr>
      <w:r>
        <w:rPr>
          <w:rFonts w:hint="default" w:ascii="Times New Roman" w:hAnsi="Times New Roman" w:eastAsia="仿宋_GB2312" w:cs="Times New Roman"/>
          <w:color w:val="auto"/>
          <w:sz w:val="32"/>
          <w:szCs w:val="32"/>
          <w:highlight w:val="none"/>
        </w:rPr>
        <w:t>项目申报除满足申报通知中有关基本要求外，还应符合以下条件：</w:t>
      </w:r>
    </w:p>
    <w:p>
      <w:pPr>
        <w:keepNext w:val="0"/>
        <w:keepLines w:val="0"/>
        <w:pageBreakBefore w:val="0"/>
        <w:widowControl w:val="0"/>
        <w:kinsoku/>
        <w:wordWrap/>
        <w:overflowPunct/>
        <w:topLinePunct w:val="0"/>
        <w:autoSpaceDE/>
        <w:autoSpaceDN/>
        <w:bidi w:val="0"/>
        <w:spacing w:line="600"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（一）申报项目必须目标明确、边界清晰，具有明确的应用推广前景。申请书中必须要有明确的经济、技术和知识产权等可量化、可考核的指标，并就考核技术指标的先进性、可实施性和应用推广前景进行阐述。</w:t>
      </w:r>
    </w:p>
    <w:p>
      <w:pPr>
        <w:keepNext w:val="0"/>
        <w:keepLines w:val="0"/>
        <w:pageBreakBefore w:val="0"/>
        <w:widowControl w:val="0"/>
        <w:kinsoku/>
        <w:wordWrap/>
        <w:overflowPunct/>
        <w:topLinePunct w:val="0"/>
        <w:autoSpaceDE/>
        <w:autoSpaceDN/>
        <w:bidi w:val="0"/>
        <w:spacing w:line="600"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（二）申请单位应具有较好的技术研发条件，有较强的科研团队，有良好的资信基础。</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（三）每个研究方向支持1个项目立项。</w:t>
      </w:r>
      <w:r>
        <w:rPr>
          <w:rFonts w:hint="default" w:ascii="Times New Roman" w:hAnsi="Times New Roman" w:eastAsia="仿宋_GB2312" w:cs="Times New Roman"/>
          <w:color w:val="auto"/>
          <w:kern w:val="2"/>
          <w:sz w:val="32"/>
          <w:szCs w:val="32"/>
          <w:highlight w:val="none"/>
        </w:rPr>
        <w:t>为确保合理的竞争度，</w:t>
      </w:r>
      <w:r>
        <w:rPr>
          <w:rFonts w:hint="default" w:ascii="Times New Roman" w:hAnsi="Times New Roman" w:eastAsia="仿宋_GB2312" w:cs="Times New Roman"/>
          <w:color w:val="auto"/>
          <w:sz w:val="32"/>
          <w:szCs w:val="32"/>
          <w:highlight w:val="none"/>
        </w:rPr>
        <w:t>若参加申报的项目数不多于1项，该</w:t>
      </w:r>
      <w:r>
        <w:rPr>
          <w:rFonts w:hint="default" w:ascii="Times New Roman" w:hAnsi="Times New Roman" w:eastAsia="仿宋_GB2312" w:cs="Times New Roman"/>
          <w:color w:val="auto"/>
          <w:sz w:val="32"/>
          <w:szCs w:val="32"/>
          <w:highlight w:val="none"/>
          <w:lang w:eastAsia="zh-CN"/>
        </w:rPr>
        <w:t>研究</w:t>
      </w:r>
      <w:r>
        <w:rPr>
          <w:rFonts w:hint="default" w:ascii="Times New Roman" w:hAnsi="Times New Roman" w:eastAsia="仿宋_GB2312" w:cs="Times New Roman"/>
          <w:color w:val="auto"/>
          <w:sz w:val="32"/>
          <w:szCs w:val="32"/>
          <w:highlight w:val="none"/>
        </w:rPr>
        <w:t>方向则不启动后续评审立项程序。</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2" w:firstLineChars="200"/>
        <w:jc w:val="both"/>
        <w:outlineLvl w:val="0"/>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三、项目组织实施</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2"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项目资助。</w:t>
      </w:r>
      <w:r>
        <w:rPr>
          <w:rFonts w:hint="default" w:ascii="Times New Roman" w:hAnsi="Times New Roman" w:eastAsia="仿宋_GB2312" w:cs="Times New Roman"/>
          <w:color w:val="auto"/>
          <w:sz w:val="32"/>
          <w:szCs w:val="32"/>
          <w:highlight w:val="none"/>
        </w:rPr>
        <w:t>项目以公开竞争方式择优确定项目承担单位，项目经费采取前资助的方式支持，</w:t>
      </w:r>
      <w:r>
        <w:rPr>
          <w:rStyle w:val="6"/>
          <w:rFonts w:hint="default" w:ascii="Times New Roman" w:hAnsi="Times New Roman" w:eastAsia="仿宋_GB2312" w:cs="Times New Roman"/>
          <w:color w:val="auto"/>
          <w:sz w:val="32"/>
          <w:szCs w:val="32"/>
          <w:highlight w:val="none"/>
        </w:rPr>
        <w:t>单个项目资助经费支持强度不低于100万元。</w:t>
      </w:r>
      <w:r>
        <w:rPr>
          <w:rFonts w:hint="default" w:ascii="Times New Roman" w:hAnsi="Times New Roman" w:eastAsia="仿宋_GB2312" w:cs="Times New Roman"/>
          <w:color w:val="auto"/>
          <w:sz w:val="32"/>
          <w:szCs w:val="32"/>
          <w:highlight w:val="none"/>
        </w:rPr>
        <w:t>具体额度根据申报方的申请以及项目研究的实际需要和专家论证意见确定。</w:t>
      </w:r>
    </w:p>
    <w:p>
      <w:pPr>
        <w:pStyle w:val="3"/>
        <w:keepNext w:val="0"/>
        <w:keepLines w:val="0"/>
        <w:pageBreakBefore w:val="0"/>
        <w:widowControl w:val="0"/>
        <w:kinsoku/>
        <w:wordWrap/>
        <w:overflowPunct/>
        <w:topLinePunct w:val="0"/>
        <w:autoSpaceDE/>
        <w:autoSpaceDN/>
        <w:bidi w:val="0"/>
        <w:spacing w:beforeAutospacing="0" w:afterAutospacing="0" w:line="600" w:lineRule="exact"/>
        <w:ind w:left="0" w:right="0" w:firstLine="642"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资金拨付。</w:t>
      </w:r>
      <w:r>
        <w:rPr>
          <w:rFonts w:hint="default" w:ascii="Times New Roman" w:hAnsi="Times New Roman" w:eastAsia="仿宋_GB2312" w:cs="Times New Roman"/>
          <w:color w:val="auto"/>
          <w:sz w:val="32"/>
          <w:szCs w:val="32"/>
          <w:highlight w:val="none"/>
        </w:rPr>
        <w:t>资助经费</w:t>
      </w:r>
      <w:r>
        <w:rPr>
          <w:rFonts w:hint="default" w:ascii="Times New Roman" w:hAnsi="Times New Roman" w:eastAsia="仿宋_GB2312" w:cs="Times New Roman"/>
          <w:color w:val="auto"/>
          <w:sz w:val="32"/>
          <w:szCs w:val="32"/>
          <w:highlight w:val="none"/>
          <w:lang w:val="en-US" w:eastAsia="zh-CN"/>
        </w:rPr>
        <w:t>一次性拨付</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kern w:val="0"/>
          <w:sz w:val="32"/>
          <w:szCs w:val="32"/>
          <w:highlight w:val="none"/>
        </w:rPr>
        <w:t>3</w:t>
      </w:r>
      <w:r>
        <w:rPr>
          <w:rFonts w:hint="default" w:ascii="Times New Roman" w:hAnsi="Times New Roman" w:eastAsia="仿宋_GB2312" w:cs="Times New Roman"/>
          <w:b/>
          <w:bCs/>
          <w:color w:val="auto"/>
          <w:kern w:val="0"/>
          <w:sz w:val="32"/>
          <w:szCs w:val="32"/>
          <w:highlight w:val="none"/>
          <w:lang w:eastAsia="zh-CN"/>
        </w:rPr>
        <w:t>．</w:t>
      </w:r>
      <w:r>
        <w:rPr>
          <w:rFonts w:hint="default" w:ascii="Times New Roman" w:hAnsi="Times New Roman" w:eastAsia="仿宋_GB2312" w:cs="Times New Roman"/>
          <w:b/>
          <w:bCs/>
          <w:color w:val="auto"/>
          <w:kern w:val="0"/>
          <w:sz w:val="32"/>
          <w:szCs w:val="32"/>
          <w:highlight w:val="none"/>
        </w:rPr>
        <w:t>执行年限。</w:t>
      </w:r>
      <w:r>
        <w:rPr>
          <w:rFonts w:hint="default" w:ascii="Times New Roman" w:hAnsi="Times New Roman" w:eastAsia="仿宋_GB2312" w:cs="Times New Roman"/>
          <w:color w:val="auto"/>
          <w:sz w:val="32"/>
          <w:szCs w:val="32"/>
          <w:highlight w:val="none"/>
        </w:rPr>
        <w:t>项目实施从合同签订之日起开始，周期一般为3年。</w:t>
      </w:r>
    </w:p>
    <w:p>
      <w:pPr>
        <w:keepNext w:val="0"/>
        <w:keepLines w:val="0"/>
        <w:pageBreakBefore w:val="0"/>
        <w:widowControl w:val="0"/>
        <w:kinsoku/>
        <w:wordWrap/>
        <w:overflowPunct/>
        <w:topLinePunct w:val="0"/>
        <w:autoSpaceDE/>
        <w:autoSpaceDN/>
        <w:bidi w:val="0"/>
        <w:spacing w:line="600" w:lineRule="exact"/>
        <w:ind w:left="0" w:right="0" w:firstLine="642" w:firstLineChars="200"/>
        <w:jc w:val="both"/>
        <w:outlineLvl w:val="0"/>
        <w:rPr>
          <w:rFonts w:hint="default" w:ascii="Times New Roman" w:hAnsi="Times New Roman" w:eastAsia="楷体" w:cs="Times New Roman"/>
          <w:b/>
          <w:color w:val="auto"/>
          <w:sz w:val="32"/>
          <w:szCs w:val="32"/>
          <w:highlight w:val="none"/>
        </w:rPr>
      </w:pPr>
      <w:r>
        <w:rPr>
          <w:rFonts w:hint="default" w:ascii="Times New Roman" w:hAnsi="Times New Roman" w:eastAsia="黑体" w:cs="Times New Roman"/>
          <w:b/>
          <w:color w:val="auto"/>
          <w:sz w:val="32"/>
          <w:szCs w:val="32"/>
          <w:highlight w:val="none"/>
        </w:rPr>
        <w:t>四、本年度重点支持方向</w:t>
      </w:r>
      <w:bookmarkStart w:id="0" w:name="_Toc84862147"/>
    </w:p>
    <w:bookmarkEnd w:id="0"/>
    <w:p>
      <w:pPr>
        <w:spacing w:line="600" w:lineRule="exact"/>
        <w:ind w:firstLine="642" w:firstLineChars="200"/>
        <w:jc w:val="left"/>
        <w:outlineLvl w:val="0"/>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（一）江西省历史自然灾害分布特点及风险研究</w:t>
      </w:r>
    </w:p>
    <w:p>
      <w:pPr>
        <w:spacing w:line="600" w:lineRule="exact"/>
        <w:ind w:firstLine="642" w:firstLineChars="200"/>
        <w:jc w:val="left"/>
        <w:outlineLvl w:val="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1．研究内容</w:t>
      </w:r>
    </w:p>
    <w:p>
      <w:pPr>
        <w:spacing w:line="600" w:lineRule="exact"/>
        <w:ind w:firstLine="640" w:firstLineChars="200"/>
        <w:jc w:val="left"/>
        <w:outlineLvl w:val="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基于我省报灾系统数据（1978-2022），结合江西省自然灾害风险普查成果资料，全面梳理历史灾害损失情况、空间分布、范围、规模等总体状况，补充完善全省历史灾情数据库；采用“灾害系统图谱”理论，挖掘灾害损失构成及时空演变规律，通过地图可视化和专题特征统计联合表达等形式，编制形成多类别专题的历史灾害图集，从多层次、多维度地展现我省历年自然灾害发生全貌及时空特征规律，实现多类别灾害图谱特征分析与综合评价；基于统计学方法和灾害经验模型，探索灾害风险隐患区域分布规律，组织编制特征区域内的多指标灾害风险图集，提出风险防范建议；构建一套历史灾害数据查询展示工具包，基于WebGIS开放工具包实现电子地图叠加与分析、集成展示功能，展现多类别、多层次、多要素信息，挖掘图集综合防灾减灾效益。</w:t>
      </w:r>
    </w:p>
    <w:p>
      <w:pPr>
        <w:spacing w:line="600" w:lineRule="exact"/>
        <w:ind w:firstLine="642" w:firstLineChars="200"/>
        <w:jc w:val="left"/>
        <w:outlineLvl w:val="0"/>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2．考核指标</w:t>
      </w:r>
    </w:p>
    <w:p>
      <w:pPr>
        <w:spacing w:line="600" w:lineRule="exact"/>
        <w:ind w:firstLine="640" w:firstLineChars="200"/>
        <w:jc w:val="left"/>
        <w:outlineLvl w:val="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（1）梳理和总结近35年内（1978-2022年）全省自然灾害发生情况，构建历史灾情数据基础库；系统分析我省历史灾情数据，编制形成《江西省历史自然灾害图集（1978-2022）》。</w:t>
      </w:r>
    </w:p>
    <w:p>
      <w:pPr>
        <w:spacing w:line="600" w:lineRule="exact"/>
        <w:ind w:firstLine="640" w:firstLineChars="200"/>
        <w:jc w:val="left"/>
        <w:outlineLvl w:val="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（2）分析研究灾害风险隐患区域分布规律，组织编制《江西省分类别自然灾害风险图集》，提出风险防范措施建议。</w:t>
      </w:r>
    </w:p>
    <w:p>
      <w:pPr>
        <w:spacing w:line="600" w:lineRule="exact"/>
        <w:ind w:firstLine="640" w:firstLineChars="200"/>
        <w:jc w:val="left"/>
        <w:outlineLvl w:val="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（3）构建江西省历史灾害数据查询展示工具包1套，提供多类别、多层次、多要素的信息叠加与分析模块，实现以电子地图为载体的灾情统计与查询等功能，挖掘图集综合防灾减灾效益。</w:t>
      </w:r>
    </w:p>
    <w:p>
      <w:pPr>
        <w:spacing w:line="600" w:lineRule="exact"/>
        <w:ind w:firstLine="640" w:firstLineChars="200"/>
        <w:jc w:val="left"/>
        <w:outlineLvl w:val="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（4）发表论文</w:t>
      </w:r>
      <w:r>
        <w:rPr>
          <w:rFonts w:hint="default" w:ascii="Times New Roman" w:hAnsi="Times New Roman" w:eastAsia="东文宋体" w:cs="Times New Roman"/>
          <w:color w:val="000000"/>
          <w:sz w:val="32"/>
          <w:szCs w:val="32"/>
          <w:highlight w:val="none"/>
        </w:rPr>
        <w:t>≥</w:t>
      </w:r>
      <w:r>
        <w:rPr>
          <w:rFonts w:hint="default" w:ascii="Times New Roman" w:hAnsi="Times New Roman" w:eastAsia="仿宋_GB2312" w:cs="Times New Roman"/>
          <w:color w:val="000000"/>
          <w:sz w:val="32"/>
          <w:szCs w:val="32"/>
          <w:highlight w:val="none"/>
        </w:rPr>
        <w:t>2篇。</w:t>
      </w:r>
    </w:p>
    <w:p>
      <w:pPr>
        <w:ind w:firstLine="642" w:firstLineChars="200"/>
        <w:jc w:val="left"/>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（二）赣南钨矿安全高效开采技术研究及应用示范</w:t>
      </w:r>
    </w:p>
    <w:p>
      <w:pPr>
        <w:ind w:firstLine="642" w:firstLineChars="200"/>
        <w:textAlignment w:val="baseline"/>
        <w:outlineLvl w:val="2"/>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1．研究内容</w:t>
      </w:r>
    </w:p>
    <w:p>
      <w:pPr>
        <w:ind w:firstLine="640" w:firstLineChars="200"/>
        <w:jc w:val="left"/>
        <w:rPr>
          <w:rFonts w:hint="default" w:ascii="Times New Roman" w:hAnsi="Times New Roman" w:cs="Times New Roman"/>
          <w:color w:val="000000"/>
          <w:highlight w:val="none"/>
        </w:rPr>
      </w:pPr>
      <w:r>
        <w:rPr>
          <w:rFonts w:hint="default" w:ascii="Times New Roman" w:hAnsi="Times New Roman" w:eastAsia="仿宋_GB2312" w:cs="Times New Roman"/>
          <w:color w:val="000000"/>
          <w:sz w:val="32"/>
          <w:szCs w:val="32"/>
          <w:highlight w:val="none"/>
        </w:rPr>
        <w:t>为解决赣南钨矿山普遍存在的生产工艺较落后、管理水平较低、技术装备水平较差等系统性难题，开展适用于</w:t>
      </w:r>
      <w:bookmarkStart w:id="1" w:name="_Hlk116327570"/>
      <w:r>
        <w:rPr>
          <w:rFonts w:hint="default" w:ascii="Times New Roman" w:hAnsi="Times New Roman" w:eastAsia="仿宋_GB2312" w:cs="Times New Roman"/>
          <w:color w:val="000000"/>
          <w:sz w:val="32"/>
          <w:szCs w:val="32"/>
          <w:highlight w:val="none"/>
        </w:rPr>
        <w:t>钨矿脉</w:t>
      </w:r>
      <w:bookmarkEnd w:id="1"/>
      <w:r>
        <w:rPr>
          <w:rFonts w:hint="default" w:ascii="Times New Roman" w:hAnsi="Times New Roman" w:eastAsia="仿宋_GB2312" w:cs="Times New Roman"/>
          <w:color w:val="000000"/>
          <w:sz w:val="32"/>
          <w:szCs w:val="32"/>
          <w:highlight w:val="none"/>
        </w:rPr>
        <w:t>（群）的安全高效采矿方法试验研究，解决钨矿脉低效生产工艺技术问题；开展钨矿山尾砂充填配比及输送特性技术研究，达到充填和治理采空区要求；开展钨矿山地压实时监测预警技术研究，为有效防治</w:t>
      </w:r>
      <w:bookmarkStart w:id="2" w:name="_Hlk115436147"/>
      <w:r>
        <w:rPr>
          <w:rFonts w:hint="default" w:ascii="Times New Roman" w:hAnsi="Times New Roman" w:eastAsia="仿宋_GB2312" w:cs="Times New Roman"/>
          <w:color w:val="000000"/>
          <w:sz w:val="32"/>
          <w:szCs w:val="32"/>
          <w:highlight w:val="none"/>
        </w:rPr>
        <w:t>钨矿山</w:t>
      </w:r>
      <w:bookmarkEnd w:id="2"/>
      <w:r>
        <w:rPr>
          <w:rFonts w:hint="default" w:ascii="Times New Roman" w:hAnsi="Times New Roman" w:eastAsia="仿宋_GB2312" w:cs="Times New Roman"/>
          <w:color w:val="000000"/>
          <w:sz w:val="32"/>
          <w:szCs w:val="32"/>
          <w:highlight w:val="none"/>
        </w:rPr>
        <w:t>冲击地压灾害提供新途径；开展钨矿山小断面通风系统优化技术研究，满足井下多中段多采场新鲜风流需求；集成应用采矿方法、空区治理、监测监控等技术，建立赣南钨矿安全高效开采示范点。</w:t>
      </w:r>
    </w:p>
    <w:p>
      <w:pPr>
        <w:ind w:firstLine="642" w:firstLineChars="200"/>
        <w:textAlignment w:val="baseline"/>
        <w:outlineLvl w:val="2"/>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2．考核指标</w:t>
      </w:r>
    </w:p>
    <w:p>
      <w:pPr>
        <w:ind w:firstLine="640" w:firstLineChars="200"/>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（1）优选出适用于赣南钨矿山开采的采矿方法、采空区充填技术与工艺、地压监测预警信息系统，对井下通风系统进行优化，建立赣南钨矿安全高效开采示范点1个</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采矿回采率提高</w:t>
      </w:r>
      <w:r>
        <w:rPr>
          <w:rFonts w:hint="default" w:ascii="Times New Roman" w:hAnsi="Times New Roman" w:eastAsia="东文宋体" w:cs="Times New Roman"/>
          <w:color w:val="000000"/>
          <w:sz w:val="32"/>
          <w:szCs w:val="32"/>
          <w:highlight w:val="none"/>
        </w:rPr>
        <w:t>≥</w:t>
      </w:r>
      <w:r>
        <w:rPr>
          <w:rFonts w:hint="default" w:ascii="Times New Roman" w:hAnsi="Times New Roman" w:eastAsia="仿宋_GB2312" w:cs="Times New Roman"/>
          <w:color w:val="000000"/>
          <w:sz w:val="32"/>
          <w:szCs w:val="32"/>
          <w:highlight w:val="none"/>
        </w:rPr>
        <w:t>5</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采空区充填率</w:t>
      </w:r>
      <w:r>
        <w:rPr>
          <w:rFonts w:hint="default" w:ascii="Times New Roman" w:hAnsi="Times New Roman" w:eastAsia="东文宋体" w:cs="Times New Roman"/>
          <w:color w:val="000000"/>
          <w:sz w:val="32"/>
          <w:szCs w:val="32"/>
          <w:highlight w:val="none"/>
        </w:rPr>
        <w:t>≥</w:t>
      </w:r>
      <w:r>
        <w:rPr>
          <w:rFonts w:hint="default" w:ascii="Times New Roman" w:hAnsi="Times New Roman" w:eastAsia="仿宋_GB2312" w:cs="Times New Roman"/>
          <w:color w:val="000000"/>
          <w:sz w:val="32"/>
          <w:szCs w:val="32"/>
          <w:highlight w:val="none"/>
        </w:rPr>
        <w:t>85%；</w:t>
      </w:r>
    </w:p>
    <w:p>
      <w:pPr>
        <w:ind w:firstLine="640" w:firstLineChars="200"/>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（2）申请专利</w:t>
      </w:r>
      <w:r>
        <w:rPr>
          <w:rFonts w:hint="default" w:ascii="Times New Roman" w:hAnsi="Times New Roman" w:eastAsia="东文宋体" w:cs="Times New Roman"/>
          <w:color w:val="000000"/>
          <w:sz w:val="32"/>
          <w:szCs w:val="32"/>
          <w:highlight w:val="none"/>
        </w:rPr>
        <w:t>≥</w:t>
      </w:r>
      <w:r>
        <w:rPr>
          <w:rFonts w:hint="default" w:ascii="Times New Roman" w:hAnsi="Times New Roman" w:eastAsia="仿宋_GB2312" w:cs="Times New Roman"/>
          <w:color w:val="000000"/>
          <w:sz w:val="32"/>
          <w:szCs w:val="32"/>
          <w:highlight w:val="none"/>
        </w:rPr>
        <w:t>1项；</w:t>
      </w:r>
    </w:p>
    <w:p>
      <w:pPr>
        <w:ind w:firstLine="640" w:firstLineChars="200"/>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（3）起草地方标准/规范</w:t>
      </w:r>
      <w:r>
        <w:rPr>
          <w:rFonts w:hint="default" w:ascii="Times New Roman" w:hAnsi="Times New Roman" w:eastAsia="东文宋体" w:cs="Times New Roman"/>
          <w:color w:val="000000"/>
          <w:sz w:val="32"/>
          <w:szCs w:val="32"/>
          <w:highlight w:val="none"/>
        </w:rPr>
        <w:t>≥</w:t>
      </w:r>
      <w:r>
        <w:rPr>
          <w:rFonts w:hint="default" w:ascii="Times New Roman" w:hAnsi="Times New Roman" w:eastAsia="仿宋_GB2312" w:cs="Times New Roman"/>
          <w:color w:val="000000"/>
          <w:sz w:val="32"/>
          <w:szCs w:val="32"/>
          <w:highlight w:val="none"/>
        </w:rPr>
        <w:t>1项；</w:t>
      </w:r>
    </w:p>
    <w:p>
      <w:pPr>
        <w:spacing w:line="600" w:lineRule="exact"/>
        <w:ind w:firstLine="640" w:firstLineChars="200"/>
        <w:jc w:val="left"/>
        <w:outlineLvl w:val="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（4）发表论文</w:t>
      </w:r>
      <w:r>
        <w:rPr>
          <w:rFonts w:hint="default" w:ascii="Times New Roman" w:hAnsi="Times New Roman" w:eastAsia="东文宋体" w:cs="Times New Roman"/>
          <w:color w:val="000000"/>
          <w:sz w:val="32"/>
          <w:szCs w:val="32"/>
          <w:highlight w:val="none"/>
        </w:rPr>
        <w:t>≥</w:t>
      </w:r>
      <w:r>
        <w:rPr>
          <w:rFonts w:hint="default" w:ascii="Times New Roman" w:hAnsi="Times New Roman" w:eastAsia="仿宋_GB2312" w:cs="Times New Roman"/>
          <w:color w:val="000000"/>
          <w:sz w:val="32"/>
          <w:szCs w:val="32"/>
          <w:highlight w:val="none"/>
        </w:rPr>
        <w:t>3篇。</w:t>
      </w:r>
    </w:p>
    <w:p>
      <w:r>
        <w:rPr>
          <w:rFonts w:hint="default" w:ascii="Times New Roman" w:hAnsi="Times New Roman" w:eastAsia="黑体" w:cs="Times New Roman"/>
          <w:bCs/>
          <w:color w:val="auto"/>
          <w:sz w:val="32"/>
          <w:szCs w:val="32"/>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9F6DE"/>
    <w:rsid w:val="7FF9F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Calibri" w:eastAsia="仿宋_GB2312" w:cs="Times New Roman"/>
      <w:spacing w:val="-4"/>
      <w:sz w:val="32"/>
      <w:szCs w:val="20"/>
    </w:rPr>
  </w:style>
  <w:style w:type="paragraph" w:styleId="3">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customStyle="1" w:styleId="6">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2023-01-11T10:13:00Z</dcterms:created>
  <dc:creator>test</dc:creator>
  <cp:lastModifiedBy>test</cp:lastModifiedBy>
  <dcterms:modified xsi:type="dcterms:W3CDTF">2023-01-11T10:14:22Z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